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65" w:rsidRDefault="00B55C65" w:rsidP="00E97781">
      <w:pPr>
        <w:spacing w:after="0" w:line="240" w:lineRule="auto"/>
        <w:jc w:val="center"/>
        <w:rPr>
          <w:rFonts w:ascii="Arial" w:eastAsia="Calibri" w:hAnsi="Arial" w:cs="Arial"/>
          <w:b/>
          <w:color w:val="244061"/>
          <w:sz w:val="20"/>
          <w:szCs w:val="20"/>
        </w:rPr>
      </w:pPr>
      <w:bookmarkStart w:id="0" w:name="_GoBack"/>
      <w:bookmarkEnd w:id="0"/>
      <w:r w:rsidRPr="00B55C65">
        <w:rPr>
          <w:rFonts w:ascii="Arial" w:eastAsia="Calibri" w:hAnsi="Arial" w:cs="Arial"/>
          <w:b/>
          <w:color w:val="244061"/>
          <w:sz w:val="20"/>
          <w:szCs w:val="20"/>
        </w:rPr>
        <w:t>REZULTATI POSLOVANJA PODUZETNIKA U DJELATNOSTI OSTAL</w:t>
      </w:r>
      <w:r>
        <w:rPr>
          <w:rFonts w:ascii="Arial" w:eastAsia="Calibri" w:hAnsi="Arial" w:cs="Arial"/>
          <w:b/>
          <w:color w:val="244061"/>
          <w:sz w:val="20"/>
          <w:szCs w:val="20"/>
        </w:rPr>
        <w:t>OG</w:t>
      </w:r>
      <w:r w:rsidRPr="00B55C65">
        <w:rPr>
          <w:rFonts w:ascii="Arial" w:eastAsia="Calibri" w:hAnsi="Arial" w:cs="Arial"/>
          <w:b/>
          <w:color w:val="244061"/>
          <w:sz w:val="20"/>
          <w:szCs w:val="20"/>
        </w:rPr>
        <w:t xml:space="preserve"> KOPNEN</w:t>
      </w:r>
      <w:r>
        <w:rPr>
          <w:rFonts w:ascii="Arial" w:eastAsia="Calibri" w:hAnsi="Arial" w:cs="Arial"/>
          <w:b/>
          <w:color w:val="244061"/>
          <w:sz w:val="20"/>
          <w:szCs w:val="20"/>
        </w:rPr>
        <w:t>OG</w:t>
      </w:r>
      <w:r w:rsidRPr="00B55C65">
        <w:rPr>
          <w:rFonts w:ascii="Arial" w:eastAsia="Calibri" w:hAnsi="Arial" w:cs="Arial"/>
          <w:b/>
          <w:color w:val="244061"/>
          <w:sz w:val="20"/>
          <w:szCs w:val="20"/>
        </w:rPr>
        <w:t xml:space="preserve"> </w:t>
      </w:r>
    </w:p>
    <w:p w:rsidR="00E97781" w:rsidRPr="00E97781" w:rsidRDefault="00B55C65" w:rsidP="00E97781">
      <w:pPr>
        <w:spacing w:after="0" w:line="240" w:lineRule="auto"/>
        <w:jc w:val="center"/>
        <w:rPr>
          <w:rFonts w:ascii="Arial" w:eastAsia="Calibri" w:hAnsi="Arial" w:cs="Arial"/>
          <w:b/>
          <w:color w:val="244061"/>
          <w:sz w:val="20"/>
          <w:szCs w:val="20"/>
        </w:rPr>
      </w:pPr>
      <w:r w:rsidRPr="00B55C65">
        <w:rPr>
          <w:rFonts w:ascii="Arial" w:eastAsia="Calibri" w:hAnsi="Arial" w:cs="Arial"/>
          <w:b/>
          <w:color w:val="244061"/>
          <w:sz w:val="20"/>
          <w:szCs w:val="20"/>
        </w:rPr>
        <w:t>PRIJEVOZ</w:t>
      </w:r>
      <w:r>
        <w:rPr>
          <w:rFonts w:ascii="Arial" w:eastAsia="Calibri" w:hAnsi="Arial" w:cs="Arial"/>
          <w:b/>
          <w:color w:val="244061"/>
          <w:sz w:val="20"/>
          <w:szCs w:val="20"/>
        </w:rPr>
        <w:t>A</w:t>
      </w:r>
      <w:r w:rsidRPr="00B55C65">
        <w:rPr>
          <w:rFonts w:ascii="Arial" w:eastAsia="Calibri" w:hAnsi="Arial" w:cs="Arial"/>
          <w:b/>
          <w:color w:val="244061"/>
          <w:sz w:val="20"/>
          <w:szCs w:val="20"/>
        </w:rPr>
        <w:t xml:space="preserve"> PUTNIKA</w:t>
      </w:r>
      <w:r>
        <w:rPr>
          <w:rFonts w:ascii="Arial" w:eastAsia="Calibri" w:hAnsi="Arial" w:cs="Arial"/>
          <w:b/>
          <w:color w:val="244061"/>
          <w:sz w:val="20"/>
          <w:szCs w:val="20"/>
        </w:rPr>
        <w:t xml:space="preserve"> U 2015. GODINI</w:t>
      </w:r>
    </w:p>
    <w:p w:rsidR="00E97781" w:rsidRPr="00E97781" w:rsidRDefault="00E97781" w:rsidP="00E97781">
      <w:pPr>
        <w:spacing w:before="120" w:after="0"/>
        <w:jc w:val="both"/>
        <w:rPr>
          <w:rFonts w:ascii="Arial" w:eastAsia="Calibri" w:hAnsi="Arial" w:cs="Arial"/>
          <w:color w:val="244061"/>
          <w:sz w:val="20"/>
          <w:szCs w:val="20"/>
        </w:rPr>
      </w:pPr>
      <w:r w:rsidRPr="00E97781">
        <w:rPr>
          <w:rFonts w:ascii="Arial" w:eastAsia="Calibri" w:hAnsi="Arial" w:cs="Arial"/>
          <w:color w:val="244061"/>
          <w:sz w:val="20"/>
          <w:szCs w:val="20"/>
        </w:rPr>
        <w:t>Prema podacima iz obrađenih godišnjih financijskih izvještaja, u 2015. godini, u području djelatnosti H – PRIJEVOZ I SKLADIŠTENJE, poslovalo je ukupno 4169 poduzetnika</w:t>
      </w:r>
      <w:r>
        <w:rPr>
          <w:rFonts w:ascii="Arial" w:eastAsia="Calibri" w:hAnsi="Arial" w:cs="Arial"/>
          <w:color w:val="244061"/>
          <w:sz w:val="20"/>
          <w:szCs w:val="20"/>
        </w:rPr>
        <w:t xml:space="preserve">, </w:t>
      </w:r>
      <w:r w:rsidRPr="00E97781">
        <w:rPr>
          <w:rFonts w:ascii="Arial" w:eastAsia="Calibri" w:hAnsi="Arial" w:cs="Arial"/>
          <w:color w:val="244061"/>
          <w:sz w:val="20"/>
          <w:szCs w:val="20"/>
        </w:rPr>
        <w:t xml:space="preserve">od čega je njih 2871, kao pretežitu djelatnost, registriralo djelatnost kopnenog prijevoza i cjevovodnog transporta (NKD 49). Kod poduzetnika u području djelatnosti </w:t>
      </w:r>
      <w:r w:rsidR="00BD5E37">
        <w:rPr>
          <w:rFonts w:ascii="Arial" w:eastAsia="Calibri" w:hAnsi="Arial" w:cs="Arial"/>
          <w:color w:val="244061"/>
          <w:sz w:val="20"/>
          <w:szCs w:val="20"/>
        </w:rPr>
        <w:t>prijevoza i skladištenja,</w:t>
      </w:r>
      <w:r w:rsidRPr="00E97781">
        <w:rPr>
          <w:rFonts w:ascii="Arial" w:eastAsia="Calibri" w:hAnsi="Arial" w:cs="Arial"/>
          <w:color w:val="244061"/>
          <w:sz w:val="20"/>
          <w:szCs w:val="20"/>
        </w:rPr>
        <w:t xml:space="preserve"> u 2015. godini bilo je 60</w:t>
      </w:r>
      <w:r>
        <w:rPr>
          <w:rFonts w:ascii="Arial" w:eastAsia="Calibri" w:hAnsi="Arial" w:cs="Arial"/>
          <w:color w:val="244061"/>
          <w:sz w:val="20"/>
          <w:szCs w:val="20"/>
        </w:rPr>
        <w:t> </w:t>
      </w:r>
      <w:r w:rsidRPr="00E97781">
        <w:rPr>
          <w:rFonts w:ascii="Arial" w:eastAsia="Calibri" w:hAnsi="Arial" w:cs="Arial"/>
          <w:color w:val="244061"/>
          <w:sz w:val="20"/>
          <w:szCs w:val="20"/>
        </w:rPr>
        <w:t xml:space="preserve">668 zaposlenih, od kojih je </w:t>
      </w:r>
      <w:r>
        <w:rPr>
          <w:rFonts w:ascii="Arial" w:eastAsia="Calibri" w:hAnsi="Arial" w:cs="Arial"/>
          <w:color w:val="244061"/>
          <w:sz w:val="20"/>
          <w:szCs w:val="20"/>
        </w:rPr>
        <w:t>26 </w:t>
      </w:r>
      <w:r w:rsidRPr="00E97781">
        <w:rPr>
          <w:rFonts w:ascii="Arial" w:eastAsia="Calibri" w:hAnsi="Arial" w:cs="Arial"/>
          <w:color w:val="244061"/>
          <w:sz w:val="20"/>
          <w:szCs w:val="20"/>
        </w:rPr>
        <w:t>877 (44,3</w:t>
      </w:r>
      <w:r w:rsidR="00015175"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 w:rsidRPr="00E97781">
        <w:rPr>
          <w:rFonts w:ascii="Arial" w:eastAsia="Calibri" w:hAnsi="Arial" w:cs="Arial"/>
          <w:color w:val="244061"/>
          <w:sz w:val="20"/>
          <w:szCs w:val="20"/>
        </w:rPr>
        <w:t>%) bilo zaposleno u odjeljku djelatnosti kopnenog prijevoza i cjevovodnog transporta (NKD 49), što je porast broja zaposlenih od 4,6</w:t>
      </w:r>
      <w:r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 w:rsidRPr="00E97781">
        <w:rPr>
          <w:rFonts w:ascii="Arial" w:eastAsia="Calibri" w:hAnsi="Arial" w:cs="Arial"/>
          <w:color w:val="244061"/>
          <w:sz w:val="20"/>
          <w:szCs w:val="20"/>
        </w:rPr>
        <w:t xml:space="preserve">% u odnosu na prethodnu, 2014. </w:t>
      </w:r>
      <w:r w:rsidR="00BD5E37">
        <w:rPr>
          <w:rFonts w:ascii="Arial" w:eastAsia="Calibri" w:hAnsi="Arial" w:cs="Arial"/>
          <w:color w:val="244061"/>
          <w:sz w:val="20"/>
          <w:szCs w:val="20"/>
        </w:rPr>
        <w:t>g</w:t>
      </w:r>
      <w:r w:rsidRPr="00E97781">
        <w:rPr>
          <w:rFonts w:ascii="Arial" w:eastAsia="Calibri" w:hAnsi="Arial" w:cs="Arial"/>
          <w:color w:val="244061"/>
          <w:sz w:val="20"/>
          <w:szCs w:val="20"/>
        </w:rPr>
        <w:t>odinu</w:t>
      </w:r>
      <w:r w:rsidR="00BD5E37">
        <w:rPr>
          <w:rFonts w:ascii="Arial" w:eastAsia="Calibri" w:hAnsi="Arial" w:cs="Arial"/>
          <w:color w:val="244061"/>
          <w:sz w:val="20"/>
          <w:szCs w:val="20"/>
        </w:rPr>
        <w:t>.</w:t>
      </w:r>
    </w:p>
    <w:p w:rsidR="00E97781" w:rsidRPr="00E97781" w:rsidRDefault="00E97781" w:rsidP="00E97781">
      <w:pPr>
        <w:spacing w:before="120" w:after="0"/>
        <w:jc w:val="both"/>
        <w:rPr>
          <w:rFonts w:ascii="Arial" w:eastAsia="Calibri" w:hAnsi="Arial" w:cs="Arial"/>
          <w:color w:val="244061"/>
          <w:sz w:val="20"/>
          <w:szCs w:val="20"/>
        </w:rPr>
      </w:pPr>
      <w:r w:rsidRPr="00E97781">
        <w:rPr>
          <w:rFonts w:ascii="Arial" w:eastAsia="Calibri" w:hAnsi="Arial" w:cs="Arial"/>
          <w:color w:val="244061"/>
          <w:sz w:val="20"/>
          <w:szCs w:val="20"/>
        </w:rPr>
        <w:t>Poduzetnici u djelatnosti kopnenog prijevoza i cjevovodnog transporta (NKD 49) u 2015. godini ostvarili su neto dobit u iznosu od 638</w:t>
      </w:r>
      <w:r>
        <w:rPr>
          <w:rFonts w:ascii="Arial" w:eastAsia="Calibri" w:hAnsi="Arial" w:cs="Arial"/>
          <w:color w:val="244061"/>
          <w:sz w:val="20"/>
          <w:szCs w:val="20"/>
        </w:rPr>
        <w:t>,0</w:t>
      </w:r>
      <w:r w:rsidRPr="00E97781">
        <w:rPr>
          <w:rFonts w:ascii="Arial" w:eastAsia="Calibri" w:hAnsi="Arial" w:cs="Arial"/>
          <w:color w:val="244061"/>
          <w:sz w:val="20"/>
          <w:szCs w:val="20"/>
        </w:rPr>
        <w:t xml:space="preserve"> milijuna kuna (povećanje od 71,6</w:t>
      </w:r>
      <w:r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 w:rsidRPr="00E97781">
        <w:rPr>
          <w:rFonts w:ascii="Arial" w:eastAsia="Calibri" w:hAnsi="Arial" w:cs="Arial"/>
          <w:color w:val="244061"/>
          <w:sz w:val="20"/>
          <w:szCs w:val="20"/>
        </w:rPr>
        <w:t>%) i sudjelovali sa 66</w:t>
      </w:r>
      <w:r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 w:rsidRPr="00E97781">
        <w:rPr>
          <w:rFonts w:ascii="Arial" w:eastAsia="Calibri" w:hAnsi="Arial" w:cs="Arial"/>
          <w:color w:val="244061"/>
          <w:sz w:val="20"/>
          <w:szCs w:val="20"/>
        </w:rPr>
        <w:t xml:space="preserve">% u iskazanoj neto dobiti poduzetnika u području djelatnosti </w:t>
      </w:r>
      <w:r w:rsidR="00BD5E37" w:rsidRPr="00BD5E37">
        <w:rPr>
          <w:rFonts w:ascii="Arial" w:eastAsia="Calibri" w:hAnsi="Arial" w:cs="Arial"/>
          <w:color w:val="244061"/>
          <w:sz w:val="20"/>
          <w:szCs w:val="20"/>
        </w:rPr>
        <w:t>prijevoza i skladištenja</w:t>
      </w:r>
      <w:r w:rsidRPr="00E97781">
        <w:rPr>
          <w:rFonts w:ascii="Arial" w:eastAsia="Calibri" w:hAnsi="Arial" w:cs="Arial"/>
          <w:color w:val="244061"/>
          <w:sz w:val="20"/>
          <w:szCs w:val="20"/>
        </w:rPr>
        <w:t>.</w:t>
      </w:r>
    </w:p>
    <w:p w:rsidR="00E97781" w:rsidRPr="00E97781" w:rsidRDefault="00E97781" w:rsidP="00C73187">
      <w:pPr>
        <w:widowControl w:val="0"/>
        <w:tabs>
          <w:tab w:val="left" w:pos="1276"/>
          <w:tab w:val="right" w:pos="9781"/>
        </w:tabs>
        <w:spacing w:before="180" w:after="0" w:line="240" w:lineRule="auto"/>
        <w:ind w:left="1140" w:hanging="1140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E97781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Tablica 1.</w:t>
      </w:r>
      <w:r w:rsidRPr="00E97781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 xml:space="preserve">Broj poduzetnika, broj zaposlenih te osnovni financijski rezultati poslovanja poduzetnika u području djelatnosti H i odjeljku djelatnosti NKD 49 u 2015. </w:t>
      </w:r>
      <w:r w:rsidR="00C73187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g</w:t>
      </w:r>
      <w:r w:rsidRPr="00E97781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odini</w:t>
      </w:r>
      <w:r w:rsidR="00C73187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</w:r>
      <w:r w:rsidRPr="00E97781">
        <w:rPr>
          <w:rFonts w:ascii="Arial" w:eastAsia="Times New Roman" w:hAnsi="Arial" w:cs="Arial"/>
          <w:color w:val="17365D"/>
          <w:sz w:val="16"/>
          <w:szCs w:val="16"/>
          <w:lang w:eastAsia="hr-HR"/>
        </w:rPr>
        <w:t>(iznosi u tisućama kuna, prosječne plaće u kn)</w:t>
      </w:r>
    </w:p>
    <w:p w:rsidR="00E97781" w:rsidRPr="00E97781" w:rsidRDefault="00E97781" w:rsidP="00E97781">
      <w:pPr>
        <w:widowControl w:val="0"/>
        <w:tabs>
          <w:tab w:val="left" w:pos="1276"/>
          <w:tab w:val="right" w:pos="9639"/>
        </w:tabs>
        <w:spacing w:before="40" w:after="0" w:line="240" w:lineRule="auto"/>
        <w:ind w:left="1140" w:hanging="1140"/>
        <w:jc w:val="right"/>
        <w:rPr>
          <w:rFonts w:ascii="Arial" w:eastAsia="Times New Roman" w:hAnsi="Arial" w:cs="Arial"/>
          <w:color w:val="FF0000"/>
          <w:sz w:val="2"/>
          <w:szCs w:val="16"/>
          <w:lang w:eastAsia="hr-HR"/>
        </w:rPr>
      </w:pPr>
    </w:p>
    <w:tbl>
      <w:tblPr>
        <w:tblW w:w="9765" w:type="dxa"/>
        <w:jc w:val="center"/>
        <w:tblInd w:w="475" w:type="dxa"/>
        <w:tblLayout w:type="fixed"/>
        <w:tblLook w:val="04A0" w:firstRow="1" w:lastRow="0" w:firstColumn="1" w:lastColumn="0" w:noHBand="0" w:noVBand="1"/>
      </w:tblPr>
      <w:tblGrid>
        <w:gridCol w:w="3469"/>
        <w:gridCol w:w="1191"/>
        <w:gridCol w:w="1191"/>
        <w:gridCol w:w="737"/>
        <w:gridCol w:w="1191"/>
        <w:gridCol w:w="1191"/>
        <w:gridCol w:w="795"/>
      </w:tblGrid>
      <w:tr w:rsidR="00E97781" w:rsidRPr="00E97781" w:rsidTr="00015175">
        <w:trPr>
          <w:trHeight w:val="432"/>
          <w:jc w:val="center"/>
        </w:trPr>
        <w:tc>
          <w:tcPr>
            <w:tcW w:w="346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77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311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77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područje djelatnosti H</w:t>
            </w:r>
          </w:p>
        </w:tc>
        <w:tc>
          <w:tcPr>
            <w:tcW w:w="317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77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NKD 49 Kopneni prijevoz i cjevovodni transport</w:t>
            </w:r>
          </w:p>
        </w:tc>
      </w:tr>
      <w:tr w:rsidR="00E97781" w:rsidRPr="00E97781" w:rsidTr="00015175">
        <w:trPr>
          <w:trHeight w:val="283"/>
          <w:jc w:val="center"/>
        </w:trPr>
        <w:tc>
          <w:tcPr>
            <w:tcW w:w="346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77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2014.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77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2015.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77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77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2014.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77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2015.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77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</w:tr>
      <w:tr w:rsidR="00E97781" w:rsidRPr="00E97781" w:rsidTr="00015175">
        <w:trPr>
          <w:trHeight w:val="283"/>
          <w:jc w:val="center"/>
        </w:trPr>
        <w:tc>
          <w:tcPr>
            <w:tcW w:w="34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4.169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2.871</w:t>
            </w:r>
          </w:p>
        </w:tc>
        <w:tc>
          <w:tcPr>
            <w:tcW w:w="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-</w:t>
            </w:r>
          </w:p>
        </w:tc>
      </w:tr>
      <w:tr w:rsidR="00E97781" w:rsidRPr="00E97781" w:rsidTr="00015175">
        <w:trPr>
          <w:trHeight w:val="283"/>
          <w:jc w:val="center"/>
        </w:trPr>
        <w:tc>
          <w:tcPr>
            <w:tcW w:w="34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2.590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2.885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111,4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1.856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2.051</w:t>
            </w:r>
          </w:p>
        </w:tc>
        <w:tc>
          <w:tcPr>
            <w:tcW w:w="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110,5</w:t>
            </w:r>
          </w:p>
        </w:tc>
      </w:tr>
      <w:tr w:rsidR="00E97781" w:rsidRPr="00E97781" w:rsidTr="00015175">
        <w:trPr>
          <w:trHeight w:val="283"/>
          <w:jc w:val="center"/>
        </w:trPr>
        <w:tc>
          <w:tcPr>
            <w:tcW w:w="34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1.152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1.284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111,5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710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820</w:t>
            </w:r>
          </w:p>
        </w:tc>
        <w:tc>
          <w:tcPr>
            <w:tcW w:w="7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115,5</w:t>
            </w:r>
          </w:p>
        </w:tc>
      </w:tr>
      <w:tr w:rsidR="00E97781" w:rsidRPr="00E97781" w:rsidTr="00015175">
        <w:trPr>
          <w:trHeight w:val="283"/>
          <w:jc w:val="center"/>
        </w:trPr>
        <w:tc>
          <w:tcPr>
            <w:tcW w:w="3469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59.539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60.668</w:t>
            </w:r>
          </w:p>
        </w:tc>
        <w:tc>
          <w:tcPr>
            <w:tcW w:w="73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101,9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25.691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26.877</w:t>
            </w:r>
          </w:p>
        </w:tc>
        <w:tc>
          <w:tcPr>
            <w:tcW w:w="795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104,6</w:t>
            </w:r>
          </w:p>
        </w:tc>
      </w:tr>
      <w:tr w:rsidR="00E97781" w:rsidRPr="00E97781" w:rsidTr="00015175">
        <w:trPr>
          <w:trHeight w:val="283"/>
          <w:jc w:val="center"/>
        </w:trPr>
        <w:tc>
          <w:tcPr>
            <w:tcW w:w="34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30.095.049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32.266.372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107,2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13.724.051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14.739.245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107,4</w:t>
            </w:r>
          </w:p>
        </w:tc>
      </w:tr>
      <w:tr w:rsidR="00E97781" w:rsidRPr="00E97781" w:rsidTr="00015175">
        <w:trPr>
          <w:trHeight w:val="283"/>
          <w:jc w:val="center"/>
        </w:trPr>
        <w:tc>
          <w:tcPr>
            <w:tcW w:w="34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30.279.589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31.040.655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102,5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13.249.795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13.944.102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105,2</w:t>
            </w:r>
          </w:p>
        </w:tc>
      </w:tr>
      <w:tr w:rsidR="00E97781" w:rsidRPr="00E97781" w:rsidTr="00015175">
        <w:trPr>
          <w:trHeight w:val="283"/>
          <w:jc w:val="center"/>
        </w:trPr>
        <w:tc>
          <w:tcPr>
            <w:tcW w:w="34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1.376.260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2.189.339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159,1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750.437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1.008.664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134,4</w:t>
            </w:r>
          </w:p>
        </w:tc>
      </w:tr>
      <w:tr w:rsidR="00E97781" w:rsidRPr="00E97781" w:rsidTr="00015175">
        <w:trPr>
          <w:trHeight w:val="283"/>
          <w:jc w:val="center"/>
        </w:trPr>
        <w:tc>
          <w:tcPr>
            <w:tcW w:w="34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1.560.800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963.623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61,7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276.181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213.521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77,3</w:t>
            </w:r>
          </w:p>
        </w:tc>
      </w:tr>
      <w:tr w:rsidR="00E97781" w:rsidRPr="00E97781" w:rsidTr="00015175">
        <w:trPr>
          <w:trHeight w:val="283"/>
          <w:jc w:val="center"/>
        </w:trPr>
        <w:tc>
          <w:tcPr>
            <w:tcW w:w="34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135.311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258.550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191,1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102.430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157.139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153,4</w:t>
            </w:r>
          </w:p>
        </w:tc>
      </w:tr>
      <w:tr w:rsidR="00E97781" w:rsidRPr="00E97781" w:rsidTr="00015175">
        <w:trPr>
          <w:trHeight w:val="283"/>
          <w:jc w:val="center"/>
        </w:trPr>
        <w:tc>
          <w:tcPr>
            <w:tcW w:w="34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1.207.085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1.908.590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158,1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648.527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851.648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131,3</w:t>
            </w:r>
          </w:p>
        </w:tc>
      </w:tr>
      <w:tr w:rsidR="00E97781" w:rsidRPr="00E97781" w:rsidTr="00015175">
        <w:trPr>
          <w:trHeight w:val="283"/>
          <w:jc w:val="center"/>
        </w:trPr>
        <w:tc>
          <w:tcPr>
            <w:tcW w:w="34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1.526.936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941.424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61,7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276.700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213.644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77,2</w:t>
            </w:r>
          </w:p>
        </w:tc>
      </w:tr>
      <w:tr w:rsidR="00E97781" w:rsidRPr="00E97781" w:rsidTr="00015175">
        <w:trPr>
          <w:trHeight w:val="397"/>
          <w:jc w:val="center"/>
        </w:trPr>
        <w:tc>
          <w:tcPr>
            <w:tcW w:w="34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-319.851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  <w:t>967.166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  <w:t>371.827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  <w:t>638.005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  <w:t>171,6</w:t>
            </w:r>
          </w:p>
        </w:tc>
      </w:tr>
      <w:tr w:rsidR="00E97781" w:rsidRPr="00E97781" w:rsidTr="00015175">
        <w:trPr>
          <w:trHeight w:val="283"/>
          <w:jc w:val="center"/>
        </w:trPr>
        <w:tc>
          <w:tcPr>
            <w:tcW w:w="34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8.439.586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9.329.752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110,5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3.067.806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3.472.082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113,2</w:t>
            </w:r>
          </w:p>
        </w:tc>
      </w:tr>
      <w:tr w:rsidR="00E97781" w:rsidRPr="00E97781" w:rsidTr="00015175">
        <w:trPr>
          <w:trHeight w:val="283"/>
          <w:jc w:val="center"/>
        </w:trPr>
        <w:tc>
          <w:tcPr>
            <w:tcW w:w="34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1.205.758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1.286.216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106,7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463.182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537.122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116,0</w:t>
            </w:r>
          </w:p>
        </w:tc>
      </w:tr>
      <w:tr w:rsidR="00E97781" w:rsidRPr="00E97781" w:rsidTr="00015175">
        <w:trPr>
          <w:trHeight w:val="283"/>
          <w:jc w:val="center"/>
        </w:trPr>
        <w:tc>
          <w:tcPr>
            <w:tcW w:w="34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Trgovinski saldo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7.233.828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8.043.536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111,2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2.604.625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2.934.960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112,7</w:t>
            </w:r>
          </w:p>
        </w:tc>
      </w:tr>
      <w:tr w:rsidR="00E97781" w:rsidRPr="00E97781" w:rsidTr="00015175">
        <w:trPr>
          <w:trHeight w:val="283"/>
          <w:jc w:val="center"/>
        </w:trPr>
        <w:tc>
          <w:tcPr>
            <w:tcW w:w="34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2.757.868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5.161.902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187,2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1.063.058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2.141.726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201,5</w:t>
            </w:r>
          </w:p>
        </w:tc>
      </w:tr>
      <w:tr w:rsidR="00E97781" w:rsidRPr="00E97781" w:rsidTr="00015175">
        <w:trPr>
          <w:trHeight w:val="397"/>
          <w:jc w:val="center"/>
        </w:trPr>
        <w:tc>
          <w:tcPr>
            <w:tcW w:w="34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5.697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5.798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101,8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4.489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4.543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101,2</w:t>
            </w:r>
          </w:p>
        </w:tc>
      </w:tr>
    </w:tbl>
    <w:p w:rsidR="00E97781" w:rsidRPr="00E97781" w:rsidRDefault="00E97781" w:rsidP="00E97781">
      <w:pPr>
        <w:tabs>
          <w:tab w:val="left" w:pos="601"/>
        </w:tabs>
        <w:spacing w:before="40" w:after="0" w:line="288" w:lineRule="auto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E97781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Izvor: Fina, Registar godišnjih financijskih izvještaja, obrada GFI-a za 2015. godinu</w:t>
      </w:r>
    </w:p>
    <w:p w:rsidR="00E97781" w:rsidRPr="00E97781" w:rsidRDefault="00E97781" w:rsidP="00E97781">
      <w:pPr>
        <w:spacing w:before="180" w:after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 w:rsidRPr="00E9778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U 2015. godini poduzetnici skupine djelatnosti NKD 49.3 - Ostali kopneni prijevoz putnika, iskazali su pozitivan financijski rezultat (3,2 milijuna kuna), unatoč smanjenju neto dobiti za 92,2</w:t>
      </w:r>
      <w:r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E9778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% u odnosu na prethodno razdoblje. Ukupan prihod poduzetnika čija je pretežita djelatnost ostali kopneni prijevoz putnika (NKD 49.3), u 2015. godini iznosio je 2,7 milijardi kuna, što je za 6</w:t>
      </w:r>
      <w:r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E9778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% više nego u prethodnom razdoblju. Povećani su i ukupni rashodi i to za 7,5</w:t>
      </w:r>
      <w:r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Pr="00E9778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%.</w:t>
      </w:r>
      <w:r w:rsidRPr="00E97781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</w:t>
      </w:r>
      <w:r w:rsidRPr="00E9778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Obračunata prosječna mjesečna neto plaća zaposlenih kod poduzetnika u skupini djelatnosti 49.3, iznosila je 4.444 kuna.</w:t>
      </w:r>
    </w:p>
    <w:p w:rsidR="00D809C6" w:rsidRDefault="00D809C6" w:rsidP="00E97781">
      <w:pPr>
        <w:spacing w:before="120" w:after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Predmet ove analize su poduzetnici u skupini djelatnosti 49.3 - </w:t>
      </w:r>
      <w:r w:rsidRPr="00BD5E37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Ostali kopneni prijevoz putnika </w:t>
      </w:r>
      <w:r>
        <w:rPr>
          <w:rFonts w:ascii="Arial" w:eastAsia="Times New Roman" w:hAnsi="Arial" w:cs="Arial"/>
          <w:color w:val="17365D"/>
          <w:sz w:val="20"/>
          <w:szCs w:val="20"/>
          <w:lang w:eastAsia="hr-HR"/>
        </w:rPr>
        <w:t>i 3 razreda djelatnosti unutar te skupine djelatnosti:</w:t>
      </w:r>
    </w:p>
    <w:p w:rsidR="00D809C6" w:rsidRDefault="00D809C6" w:rsidP="003A7998">
      <w:pPr>
        <w:pStyle w:val="Odlomakpopisa"/>
        <w:numPr>
          <w:ilvl w:val="0"/>
          <w:numId w:val="1"/>
        </w:numPr>
        <w:spacing w:before="60" w:after="0"/>
        <w:ind w:left="714" w:hanging="357"/>
        <w:contextualSpacing w:val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 w:rsidRPr="00D809C6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49.31 </w:t>
      </w:r>
      <w:r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- </w:t>
      </w:r>
      <w:r w:rsidRPr="00D809C6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Gradski i prigradski kopneni prijevoz putnika</w:t>
      </w:r>
      <w:r w:rsidR="003A7998">
        <w:rPr>
          <w:rStyle w:val="Referencafusnote"/>
          <w:rFonts w:ascii="Arial" w:eastAsia="Times New Roman" w:hAnsi="Arial"/>
          <w:color w:val="17365D"/>
          <w:sz w:val="20"/>
          <w:szCs w:val="20"/>
          <w:lang w:eastAsia="hr-HR"/>
        </w:rPr>
        <w:footnoteReference w:id="1"/>
      </w:r>
    </w:p>
    <w:p w:rsidR="00D809C6" w:rsidRDefault="00D809C6" w:rsidP="00D809C6">
      <w:pPr>
        <w:pStyle w:val="Odlomakpopisa"/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 w:rsidRPr="00D809C6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49.32 </w:t>
      </w:r>
      <w:r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- </w:t>
      </w:r>
      <w:r w:rsidRPr="00D809C6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Taksi služba</w:t>
      </w:r>
    </w:p>
    <w:p w:rsidR="00D809C6" w:rsidRPr="00D809C6" w:rsidRDefault="00D809C6" w:rsidP="00D809C6">
      <w:pPr>
        <w:pStyle w:val="Odlomakpopisa"/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49.39 - </w:t>
      </w:r>
      <w:r w:rsidRPr="00D809C6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Ostali kopneni prijevoz putnika, d. n.</w:t>
      </w:r>
      <w:r w:rsidR="0096031B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(skraćeno od drugdje nespomenuto)</w:t>
      </w:r>
      <w:r w:rsidR="003A7998">
        <w:rPr>
          <w:rStyle w:val="Referencafusnote"/>
          <w:rFonts w:ascii="Arial" w:eastAsia="Times New Roman" w:hAnsi="Arial"/>
          <w:color w:val="17365D"/>
          <w:sz w:val="20"/>
          <w:szCs w:val="20"/>
          <w:lang w:eastAsia="hr-HR"/>
        </w:rPr>
        <w:footnoteReference w:id="2"/>
      </w:r>
    </w:p>
    <w:p w:rsidR="00D809C6" w:rsidRDefault="00E97781" w:rsidP="003A7998">
      <w:pPr>
        <w:pageBreakBefore/>
        <w:spacing w:after="0"/>
        <w:jc w:val="both"/>
        <w:rPr>
          <w:rFonts w:ascii="Arial" w:eastAsia="Calibri" w:hAnsi="Arial" w:cs="Arial"/>
          <w:color w:val="17365D"/>
          <w:sz w:val="20"/>
          <w:szCs w:val="20"/>
        </w:rPr>
      </w:pPr>
      <w:r w:rsidRPr="00E97781">
        <w:rPr>
          <w:rFonts w:ascii="Arial" w:eastAsia="Calibri" w:hAnsi="Arial" w:cs="Arial"/>
          <w:color w:val="17365D"/>
          <w:sz w:val="20"/>
          <w:szCs w:val="20"/>
        </w:rPr>
        <w:lastRenderedPageBreak/>
        <w:t xml:space="preserve">Unutar skupine djelatnosti 49.3 - Ostali kopneni prijevoz putnika, </w:t>
      </w:r>
      <w:r w:rsidR="0013251B">
        <w:rPr>
          <w:rFonts w:ascii="Arial" w:eastAsia="Calibri" w:hAnsi="Arial" w:cs="Arial"/>
          <w:color w:val="17365D"/>
          <w:sz w:val="20"/>
          <w:szCs w:val="20"/>
        </w:rPr>
        <w:t xml:space="preserve">najviše je poduzetnika čija je pretežita djelatnost </w:t>
      </w:r>
      <w:r w:rsidR="0013251B" w:rsidRPr="0013251B">
        <w:rPr>
          <w:rFonts w:ascii="Arial" w:eastAsia="Calibri" w:hAnsi="Arial" w:cs="Arial"/>
          <w:color w:val="17365D"/>
          <w:sz w:val="20"/>
          <w:szCs w:val="20"/>
        </w:rPr>
        <w:t>ostal</w:t>
      </w:r>
      <w:r w:rsidR="0096031B">
        <w:rPr>
          <w:rFonts w:ascii="Arial" w:eastAsia="Calibri" w:hAnsi="Arial" w:cs="Arial"/>
          <w:color w:val="17365D"/>
          <w:sz w:val="20"/>
          <w:szCs w:val="20"/>
        </w:rPr>
        <w:t>i</w:t>
      </w:r>
      <w:r w:rsidR="0013251B" w:rsidRPr="0013251B">
        <w:rPr>
          <w:rFonts w:ascii="Arial" w:eastAsia="Calibri" w:hAnsi="Arial" w:cs="Arial"/>
          <w:color w:val="17365D"/>
          <w:sz w:val="20"/>
          <w:szCs w:val="20"/>
        </w:rPr>
        <w:t xml:space="preserve"> kopnen</w:t>
      </w:r>
      <w:r w:rsidR="0096031B">
        <w:rPr>
          <w:rFonts w:ascii="Arial" w:eastAsia="Calibri" w:hAnsi="Arial" w:cs="Arial"/>
          <w:color w:val="17365D"/>
          <w:sz w:val="20"/>
          <w:szCs w:val="20"/>
        </w:rPr>
        <w:t>i</w:t>
      </w:r>
      <w:r w:rsidR="0013251B" w:rsidRPr="0013251B">
        <w:rPr>
          <w:rFonts w:ascii="Arial" w:eastAsia="Calibri" w:hAnsi="Arial" w:cs="Arial"/>
          <w:color w:val="17365D"/>
          <w:sz w:val="20"/>
          <w:szCs w:val="20"/>
        </w:rPr>
        <w:t xml:space="preserve"> prijevoz putnika</w:t>
      </w:r>
      <w:r w:rsidR="0096031B">
        <w:rPr>
          <w:rFonts w:ascii="Arial" w:eastAsia="Calibri" w:hAnsi="Arial" w:cs="Arial"/>
          <w:color w:val="17365D"/>
          <w:sz w:val="20"/>
          <w:szCs w:val="20"/>
        </w:rPr>
        <w:t xml:space="preserve"> d. n.</w:t>
      </w:r>
      <w:r w:rsidR="0013251B" w:rsidRPr="0013251B">
        <w:rPr>
          <w:rFonts w:ascii="Arial" w:eastAsia="Calibri" w:hAnsi="Arial" w:cs="Arial"/>
          <w:color w:val="17365D"/>
          <w:sz w:val="20"/>
          <w:szCs w:val="20"/>
        </w:rPr>
        <w:t xml:space="preserve"> (NKD 49.39)</w:t>
      </w:r>
      <w:r w:rsidR="0013251B">
        <w:rPr>
          <w:rFonts w:ascii="Arial" w:eastAsia="Calibri" w:hAnsi="Arial" w:cs="Arial"/>
          <w:color w:val="17365D"/>
          <w:sz w:val="20"/>
          <w:szCs w:val="20"/>
        </w:rPr>
        <w:t>, ukupno ih je 358</w:t>
      </w:r>
      <w:r w:rsidR="0013251B" w:rsidRPr="0013251B">
        <w:rPr>
          <w:rFonts w:ascii="Arial" w:eastAsia="Calibri" w:hAnsi="Arial" w:cs="Arial"/>
          <w:color w:val="17365D"/>
          <w:sz w:val="20"/>
          <w:szCs w:val="20"/>
        </w:rPr>
        <w:t xml:space="preserve">. </w:t>
      </w:r>
      <w:r w:rsidR="0013251B">
        <w:rPr>
          <w:rFonts w:ascii="Arial" w:eastAsia="Calibri" w:hAnsi="Arial" w:cs="Arial"/>
          <w:color w:val="17365D"/>
          <w:sz w:val="20"/>
          <w:szCs w:val="20"/>
        </w:rPr>
        <w:t xml:space="preserve">Taj je skup poduzetnika </w:t>
      </w:r>
      <w:r w:rsidR="00D809C6">
        <w:rPr>
          <w:rFonts w:ascii="Arial" w:eastAsia="Calibri" w:hAnsi="Arial" w:cs="Arial"/>
          <w:color w:val="17365D"/>
          <w:sz w:val="20"/>
          <w:szCs w:val="20"/>
        </w:rPr>
        <w:t>ostvari</w:t>
      </w:r>
      <w:r w:rsidR="0013251B">
        <w:rPr>
          <w:rFonts w:ascii="Arial" w:eastAsia="Calibri" w:hAnsi="Arial" w:cs="Arial"/>
          <w:color w:val="17365D"/>
          <w:sz w:val="20"/>
          <w:szCs w:val="20"/>
        </w:rPr>
        <w:t>o</w:t>
      </w:r>
      <w:r w:rsidR="00D809C6">
        <w:rPr>
          <w:rFonts w:ascii="Arial" w:eastAsia="Calibri" w:hAnsi="Arial" w:cs="Arial"/>
          <w:color w:val="17365D"/>
          <w:sz w:val="20"/>
          <w:szCs w:val="20"/>
        </w:rPr>
        <w:t xml:space="preserve"> više od 2,0 milijardi kuna prihoda </w:t>
      </w:r>
      <w:r w:rsidR="00D809C6" w:rsidRPr="00D809C6">
        <w:rPr>
          <w:rFonts w:ascii="Arial" w:eastAsia="Calibri" w:hAnsi="Arial" w:cs="Arial"/>
          <w:color w:val="17365D"/>
          <w:sz w:val="20"/>
          <w:szCs w:val="20"/>
        </w:rPr>
        <w:t>s</w:t>
      </w:r>
      <w:r w:rsidR="00D809C6">
        <w:rPr>
          <w:rFonts w:ascii="Arial" w:eastAsia="Calibri" w:hAnsi="Arial" w:cs="Arial"/>
          <w:color w:val="17365D"/>
          <w:sz w:val="20"/>
          <w:szCs w:val="20"/>
        </w:rPr>
        <w:t xml:space="preserve"> tim da je prihod od izvoza iznosio 248,5 </w:t>
      </w:r>
      <w:r w:rsidR="007A4649">
        <w:rPr>
          <w:rFonts w:ascii="Arial" w:eastAsia="Calibri" w:hAnsi="Arial" w:cs="Arial"/>
          <w:color w:val="17365D"/>
          <w:sz w:val="20"/>
          <w:szCs w:val="20"/>
        </w:rPr>
        <w:t>milijuna kuna</w:t>
      </w:r>
      <w:r w:rsidR="00D809C6">
        <w:rPr>
          <w:rFonts w:ascii="Arial" w:eastAsia="Calibri" w:hAnsi="Arial" w:cs="Arial"/>
          <w:color w:val="17365D"/>
          <w:sz w:val="20"/>
          <w:szCs w:val="20"/>
        </w:rPr>
        <w:t>, što čini udio u ukupnim prihodima od 12,</w:t>
      </w:r>
      <w:r w:rsidR="00991E6F">
        <w:rPr>
          <w:rFonts w:ascii="Arial" w:eastAsia="Calibri" w:hAnsi="Arial" w:cs="Arial"/>
          <w:color w:val="17365D"/>
          <w:sz w:val="20"/>
          <w:szCs w:val="20"/>
        </w:rPr>
        <w:t>1</w:t>
      </w:r>
      <w:r w:rsidR="00D809C6">
        <w:rPr>
          <w:rFonts w:ascii="Arial" w:eastAsia="Calibri" w:hAnsi="Arial" w:cs="Arial"/>
          <w:color w:val="17365D"/>
          <w:sz w:val="20"/>
          <w:szCs w:val="20"/>
        </w:rPr>
        <w:t xml:space="preserve"> %. Poslovnu 2015. </w:t>
      </w:r>
      <w:r w:rsidR="007A4649">
        <w:rPr>
          <w:rFonts w:ascii="Arial" w:eastAsia="Calibri" w:hAnsi="Arial" w:cs="Arial"/>
          <w:color w:val="17365D"/>
          <w:sz w:val="20"/>
          <w:szCs w:val="20"/>
        </w:rPr>
        <w:t>g</w:t>
      </w:r>
      <w:r w:rsidR="00D809C6">
        <w:rPr>
          <w:rFonts w:ascii="Arial" w:eastAsia="Calibri" w:hAnsi="Arial" w:cs="Arial"/>
          <w:color w:val="17365D"/>
          <w:sz w:val="20"/>
          <w:szCs w:val="20"/>
        </w:rPr>
        <w:t xml:space="preserve">odinu ovi su poduzetnici završili s pozitivnim rezultatom, ostvarenom dobiti u iznosu od 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38,3 milijuna kuna. Na prvom mjestu po ostvarenoj dobiti razdoblja je </w:t>
      </w:r>
      <w:hyperlink r:id="rId9" w:history="1">
        <w:r w:rsidRPr="00E97781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CROATIA BUS d.o.o</w:t>
        </w:r>
      </w:hyperlink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. </w:t>
      </w:r>
      <w:r w:rsidR="0013251B">
        <w:rPr>
          <w:rFonts w:ascii="Arial" w:eastAsia="Calibri" w:hAnsi="Arial" w:cs="Arial"/>
          <w:color w:val="17365D"/>
          <w:sz w:val="20"/>
          <w:szCs w:val="20"/>
        </w:rPr>
        <w:t xml:space="preserve">iz Zagreba (OIB </w:t>
      </w:r>
      <w:r w:rsidR="0013251B" w:rsidRPr="0013251B">
        <w:rPr>
          <w:rFonts w:ascii="Arial" w:eastAsia="Calibri" w:hAnsi="Arial" w:cs="Arial"/>
          <w:color w:val="17365D"/>
          <w:sz w:val="20"/>
          <w:szCs w:val="20"/>
        </w:rPr>
        <w:t>57123451910</w:t>
      </w:r>
      <w:r w:rsidR="0013251B">
        <w:rPr>
          <w:rFonts w:ascii="Arial" w:eastAsia="Calibri" w:hAnsi="Arial" w:cs="Arial"/>
          <w:color w:val="17365D"/>
          <w:sz w:val="20"/>
          <w:szCs w:val="20"/>
        </w:rPr>
        <w:t>)</w:t>
      </w:r>
      <w:r w:rsidR="00B55C65">
        <w:rPr>
          <w:rStyle w:val="Referencafusnote"/>
          <w:rFonts w:ascii="Arial" w:eastAsia="Calibri" w:hAnsi="Arial"/>
          <w:color w:val="17365D"/>
          <w:sz w:val="20"/>
          <w:szCs w:val="20"/>
        </w:rPr>
        <w:footnoteReference w:id="3"/>
      </w:r>
      <w:r w:rsidR="00266313">
        <w:rPr>
          <w:rFonts w:ascii="Arial" w:eastAsia="Calibri" w:hAnsi="Arial" w:cs="Arial"/>
          <w:color w:val="17365D"/>
          <w:sz w:val="20"/>
          <w:szCs w:val="20"/>
        </w:rPr>
        <w:t>,</w:t>
      </w:r>
      <w:r w:rsidR="0013251B">
        <w:rPr>
          <w:rFonts w:ascii="Arial" w:eastAsia="Calibri" w:hAnsi="Arial" w:cs="Arial"/>
          <w:color w:val="17365D"/>
          <w:sz w:val="20"/>
          <w:szCs w:val="20"/>
        </w:rPr>
        <w:t xml:space="preserve"> 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sa ostvarenih 9,7 milijuna kuna neto dobiti. </w:t>
      </w:r>
    </w:p>
    <w:p w:rsidR="007A4649" w:rsidRDefault="007A4649" w:rsidP="00266313">
      <w:pPr>
        <w:widowControl w:val="0"/>
        <w:spacing w:before="120" w:after="0"/>
        <w:jc w:val="both"/>
        <w:rPr>
          <w:rFonts w:ascii="Arial" w:eastAsia="Calibri" w:hAnsi="Arial" w:cs="Arial"/>
          <w:color w:val="17365D"/>
          <w:sz w:val="20"/>
          <w:szCs w:val="20"/>
        </w:rPr>
      </w:pP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Najveći broj zaposlenih u 2015. </w:t>
      </w:r>
      <w:r w:rsidR="00991E6F">
        <w:rPr>
          <w:rFonts w:ascii="Arial" w:eastAsia="Calibri" w:hAnsi="Arial" w:cs="Arial"/>
          <w:color w:val="17365D"/>
          <w:sz w:val="20"/>
          <w:szCs w:val="20"/>
        </w:rPr>
        <w:t>g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>odini</w:t>
      </w:r>
      <w:r w:rsidR="00991E6F">
        <w:rPr>
          <w:rFonts w:ascii="Arial" w:eastAsia="Calibri" w:hAnsi="Arial" w:cs="Arial"/>
          <w:color w:val="17365D"/>
          <w:sz w:val="20"/>
          <w:szCs w:val="20"/>
        </w:rPr>
        <w:t xml:space="preserve"> evidentiran je </w:t>
      </w:r>
      <w:r>
        <w:rPr>
          <w:rFonts w:ascii="Arial" w:eastAsia="Calibri" w:hAnsi="Arial" w:cs="Arial"/>
          <w:color w:val="17365D"/>
          <w:sz w:val="20"/>
          <w:szCs w:val="20"/>
        </w:rPr>
        <w:t>kod poduzetnika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 u </w:t>
      </w:r>
      <w:r w:rsidR="0013251B" w:rsidRPr="0013251B">
        <w:rPr>
          <w:rFonts w:ascii="Arial" w:eastAsia="Calibri" w:hAnsi="Arial" w:cs="Arial"/>
          <w:color w:val="17365D"/>
          <w:sz w:val="20"/>
          <w:szCs w:val="20"/>
        </w:rPr>
        <w:t>djelatnost</w:t>
      </w:r>
      <w:r w:rsidR="0013251B">
        <w:rPr>
          <w:rFonts w:ascii="Arial" w:eastAsia="Calibri" w:hAnsi="Arial" w:cs="Arial"/>
          <w:color w:val="17365D"/>
          <w:sz w:val="20"/>
          <w:szCs w:val="20"/>
        </w:rPr>
        <w:t>i</w:t>
      </w:r>
      <w:r w:rsidR="0013251B" w:rsidRPr="0013251B">
        <w:rPr>
          <w:rFonts w:ascii="Arial" w:eastAsia="Calibri" w:hAnsi="Arial" w:cs="Arial"/>
          <w:color w:val="17365D"/>
          <w:sz w:val="20"/>
          <w:szCs w:val="20"/>
        </w:rPr>
        <w:t xml:space="preserve"> ostalog kopnenog prijevoza putnika (NKD 49.39), 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>njih 5815, što je povećanje od 10,2 % u odnosu na broj zaposlenih u prošlom poslovnom razdoblju</w:t>
      </w:r>
      <w:r>
        <w:rPr>
          <w:rFonts w:ascii="Arial" w:eastAsia="Calibri" w:hAnsi="Arial" w:cs="Arial"/>
          <w:color w:val="17365D"/>
          <w:sz w:val="20"/>
          <w:szCs w:val="20"/>
        </w:rPr>
        <w:t xml:space="preserve"> (2014. godina)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>.</w:t>
      </w:r>
    </w:p>
    <w:p w:rsidR="0013251B" w:rsidRPr="00E97781" w:rsidRDefault="0013251B" w:rsidP="00266313">
      <w:pPr>
        <w:spacing w:before="120" w:after="0"/>
        <w:jc w:val="both"/>
        <w:rPr>
          <w:rFonts w:ascii="Arial" w:eastAsia="Calibri" w:hAnsi="Arial" w:cs="Arial"/>
          <w:b/>
          <w:color w:val="244061"/>
          <w:sz w:val="19"/>
          <w:szCs w:val="19"/>
        </w:rPr>
      </w:pP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Društvo </w:t>
      </w:r>
      <w:hyperlink r:id="rId10" w:history="1">
        <w:r w:rsidRPr="00E97781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AUTOTRANS d.o.o.</w:t>
        </w:r>
      </w:hyperlink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 iz Cresa (OIB 19819724166)</w:t>
      </w:r>
      <w:r w:rsidR="002E20EE" w:rsidRPr="002E20EE">
        <w:rPr>
          <w:rFonts w:ascii="Arial" w:eastAsia="Calibri" w:hAnsi="Arial" w:cs="Arial"/>
          <w:color w:val="17365D"/>
          <w:sz w:val="20"/>
          <w:szCs w:val="20"/>
          <w:vertAlign w:val="superscript"/>
        </w:rPr>
        <w:t>3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, zapošljavalo je najveći broj radnika u razredu djelatnosti 49.39 (666 radnika) i ostvarilo najveći ukupan prihod </w:t>
      </w:r>
      <w:r>
        <w:rPr>
          <w:rFonts w:ascii="Arial" w:eastAsia="Calibri" w:hAnsi="Arial" w:cs="Arial"/>
          <w:color w:val="17365D"/>
          <w:sz w:val="20"/>
          <w:szCs w:val="20"/>
        </w:rPr>
        <w:t xml:space="preserve">na razini 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>skupin</w:t>
      </w:r>
      <w:r>
        <w:rPr>
          <w:rFonts w:ascii="Arial" w:eastAsia="Calibri" w:hAnsi="Arial" w:cs="Arial"/>
          <w:color w:val="17365D"/>
          <w:sz w:val="20"/>
          <w:szCs w:val="20"/>
        </w:rPr>
        <w:t>e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 49.3</w:t>
      </w:r>
      <w:r>
        <w:rPr>
          <w:rFonts w:ascii="Arial" w:eastAsia="Calibri" w:hAnsi="Arial" w:cs="Arial"/>
          <w:color w:val="17365D"/>
          <w:sz w:val="20"/>
          <w:szCs w:val="20"/>
        </w:rPr>
        <w:t xml:space="preserve"> </w:t>
      </w:r>
      <w:r w:rsidRPr="004E5C91">
        <w:rPr>
          <w:rFonts w:ascii="Arial" w:eastAsia="Calibri" w:hAnsi="Arial" w:cs="Arial"/>
          <w:color w:val="17365D"/>
          <w:sz w:val="20"/>
          <w:szCs w:val="20"/>
        </w:rPr>
        <w:t>- Ostali kopneni prijevoz putnika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>, u iznosu od 248,8 milijuna kuna, odnosno 9,1</w:t>
      </w:r>
      <w:r>
        <w:rPr>
          <w:rFonts w:ascii="Arial" w:eastAsia="Calibri" w:hAnsi="Arial" w:cs="Arial"/>
          <w:color w:val="17365D"/>
          <w:sz w:val="20"/>
          <w:szCs w:val="20"/>
        </w:rPr>
        <w:t xml:space="preserve"> 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% ukupnih prihoda skupine djelatnosti 49.3. </w:t>
      </w:r>
      <w:r w:rsidRPr="00E97781">
        <w:rPr>
          <w:rFonts w:ascii="Arial" w:eastAsia="Calibri" w:hAnsi="Arial" w:cs="Arial"/>
          <w:color w:val="244061"/>
          <w:sz w:val="20"/>
          <w:szCs w:val="20"/>
        </w:rPr>
        <w:t>Najboljih deset poduzetnika skupine 49.3 ostvarili su 48,5</w:t>
      </w:r>
      <w:r>
        <w:rPr>
          <w:rFonts w:ascii="Arial" w:eastAsia="Calibri" w:hAnsi="Arial" w:cs="Arial"/>
          <w:color w:val="244061"/>
          <w:sz w:val="20"/>
          <w:szCs w:val="20"/>
        </w:rPr>
        <w:t xml:space="preserve"> </w:t>
      </w:r>
      <w:r w:rsidRPr="00E97781">
        <w:rPr>
          <w:rFonts w:ascii="Arial" w:eastAsia="Calibri" w:hAnsi="Arial" w:cs="Arial"/>
          <w:color w:val="244061"/>
          <w:sz w:val="20"/>
          <w:szCs w:val="20"/>
        </w:rPr>
        <w:t>% ukupnih prihoda skupine djelatnosti, odnosno 1,3 milijarde kuna.</w:t>
      </w:r>
    </w:p>
    <w:p w:rsidR="00E97781" w:rsidRDefault="00E97781" w:rsidP="00266313">
      <w:pPr>
        <w:widowControl w:val="0"/>
        <w:spacing w:before="120" w:after="0"/>
        <w:jc w:val="both"/>
        <w:rPr>
          <w:rFonts w:ascii="Arial" w:eastAsia="Calibri" w:hAnsi="Arial" w:cs="Arial"/>
          <w:color w:val="17365D"/>
          <w:sz w:val="20"/>
          <w:szCs w:val="20"/>
        </w:rPr>
      </w:pPr>
      <w:r w:rsidRPr="00E97781">
        <w:rPr>
          <w:rFonts w:ascii="Arial" w:eastAsia="Calibri" w:hAnsi="Arial" w:cs="Arial"/>
          <w:color w:val="17365D"/>
          <w:sz w:val="20"/>
          <w:szCs w:val="20"/>
        </w:rPr>
        <w:t>Najveći neto gubitak iskazal</w:t>
      </w:r>
      <w:r w:rsidR="00991E6F">
        <w:rPr>
          <w:rFonts w:ascii="Arial" w:eastAsia="Calibri" w:hAnsi="Arial" w:cs="Arial"/>
          <w:color w:val="17365D"/>
          <w:sz w:val="20"/>
          <w:szCs w:val="20"/>
        </w:rPr>
        <w:t>o je 15</w:t>
      </w:r>
      <w:r w:rsidR="007A4649">
        <w:rPr>
          <w:rFonts w:ascii="Arial" w:eastAsia="Calibri" w:hAnsi="Arial" w:cs="Arial"/>
          <w:color w:val="17365D"/>
          <w:sz w:val="20"/>
          <w:szCs w:val="20"/>
        </w:rPr>
        <w:t xml:space="preserve"> 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>poduzetni</w:t>
      </w:r>
      <w:r w:rsidR="007A4649">
        <w:rPr>
          <w:rFonts w:ascii="Arial" w:eastAsia="Calibri" w:hAnsi="Arial" w:cs="Arial"/>
          <w:color w:val="17365D"/>
          <w:sz w:val="20"/>
          <w:szCs w:val="20"/>
        </w:rPr>
        <w:t>ka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 </w:t>
      </w:r>
      <w:r w:rsidR="007A4649">
        <w:rPr>
          <w:rFonts w:ascii="Arial" w:eastAsia="Calibri" w:hAnsi="Arial" w:cs="Arial"/>
          <w:color w:val="17365D"/>
          <w:sz w:val="20"/>
          <w:szCs w:val="20"/>
        </w:rPr>
        <w:t xml:space="preserve">u 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djelatnosti </w:t>
      </w:r>
      <w:r w:rsidR="00D809C6">
        <w:rPr>
          <w:rFonts w:ascii="Arial" w:eastAsia="Calibri" w:hAnsi="Arial" w:cs="Arial"/>
          <w:color w:val="17365D"/>
          <w:sz w:val="20"/>
          <w:szCs w:val="20"/>
        </w:rPr>
        <w:t>g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>radsk</w:t>
      </w:r>
      <w:r w:rsidR="00D809C6">
        <w:rPr>
          <w:rFonts w:ascii="Arial" w:eastAsia="Calibri" w:hAnsi="Arial" w:cs="Arial"/>
          <w:color w:val="17365D"/>
          <w:sz w:val="20"/>
          <w:szCs w:val="20"/>
        </w:rPr>
        <w:t>og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 i prigradsk</w:t>
      </w:r>
      <w:r w:rsidR="00D809C6">
        <w:rPr>
          <w:rFonts w:ascii="Arial" w:eastAsia="Calibri" w:hAnsi="Arial" w:cs="Arial"/>
          <w:color w:val="17365D"/>
          <w:sz w:val="20"/>
          <w:szCs w:val="20"/>
        </w:rPr>
        <w:t>og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 kopnen</w:t>
      </w:r>
      <w:r w:rsidR="00D809C6">
        <w:rPr>
          <w:rFonts w:ascii="Arial" w:eastAsia="Calibri" w:hAnsi="Arial" w:cs="Arial"/>
          <w:color w:val="17365D"/>
          <w:sz w:val="20"/>
          <w:szCs w:val="20"/>
        </w:rPr>
        <w:t>og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 prijevoz</w:t>
      </w:r>
      <w:r w:rsidR="00D809C6">
        <w:rPr>
          <w:rFonts w:ascii="Arial" w:eastAsia="Calibri" w:hAnsi="Arial" w:cs="Arial"/>
          <w:color w:val="17365D"/>
          <w:sz w:val="20"/>
          <w:szCs w:val="20"/>
        </w:rPr>
        <w:t>a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 putnika</w:t>
      </w:r>
      <w:r w:rsidR="007A4649">
        <w:rPr>
          <w:rFonts w:ascii="Arial" w:eastAsia="Calibri" w:hAnsi="Arial" w:cs="Arial"/>
          <w:color w:val="17365D"/>
          <w:sz w:val="20"/>
          <w:szCs w:val="20"/>
        </w:rPr>
        <w:t xml:space="preserve"> (49.31), 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i to u iznosu od 40 milijuna kuna. Najveći gubitak razdoblja u </w:t>
      </w:r>
      <w:r w:rsidR="00D809C6">
        <w:rPr>
          <w:rFonts w:ascii="Arial" w:eastAsia="Calibri" w:hAnsi="Arial" w:cs="Arial"/>
          <w:color w:val="17365D"/>
          <w:sz w:val="20"/>
          <w:szCs w:val="20"/>
        </w:rPr>
        <w:t xml:space="preserve">istoj djelatnosti 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>iskaza</w:t>
      </w:r>
      <w:r w:rsidR="00D809C6">
        <w:rPr>
          <w:rFonts w:ascii="Arial" w:eastAsia="Calibri" w:hAnsi="Arial" w:cs="Arial"/>
          <w:color w:val="17365D"/>
          <w:sz w:val="20"/>
          <w:szCs w:val="20"/>
        </w:rPr>
        <w:t>l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o je </w:t>
      </w:r>
      <w:r w:rsidR="00D809C6">
        <w:rPr>
          <w:rFonts w:ascii="Arial" w:eastAsia="Calibri" w:hAnsi="Arial" w:cs="Arial"/>
          <w:color w:val="17365D"/>
          <w:sz w:val="20"/>
          <w:szCs w:val="20"/>
        </w:rPr>
        <w:t>društvo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 </w:t>
      </w:r>
      <w:hyperlink r:id="rId11" w:history="1">
        <w:r w:rsidRPr="00E97781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PROMET d.o.o.</w:t>
        </w:r>
      </w:hyperlink>
      <w:r w:rsidR="007A4649">
        <w:rPr>
          <w:rFonts w:ascii="Arial" w:eastAsia="Calibri" w:hAnsi="Arial" w:cs="Arial"/>
          <w:color w:val="17365D"/>
          <w:sz w:val="20"/>
          <w:szCs w:val="20"/>
        </w:rPr>
        <w:t>,</w:t>
      </w:r>
      <w:r w:rsidR="00EA0254">
        <w:rPr>
          <w:rFonts w:ascii="Arial" w:eastAsia="Calibri" w:hAnsi="Arial" w:cs="Arial"/>
          <w:color w:val="17365D"/>
          <w:sz w:val="20"/>
          <w:szCs w:val="20"/>
        </w:rPr>
        <w:t xml:space="preserve"> iz Splita (OIB </w:t>
      </w:r>
      <w:r w:rsidR="00EA0254" w:rsidRPr="00EA0254">
        <w:rPr>
          <w:rFonts w:ascii="Arial" w:eastAsia="Calibri" w:hAnsi="Arial" w:cs="Arial"/>
          <w:color w:val="17365D"/>
          <w:sz w:val="20"/>
          <w:szCs w:val="20"/>
        </w:rPr>
        <w:t>13421314997</w:t>
      </w:r>
      <w:r w:rsidR="00EA0254">
        <w:rPr>
          <w:rFonts w:ascii="Arial" w:eastAsia="Calibri" w:hAnsi="Arial" w:cs="Arial"/>
          <w:color w:val="17365D"/>
          <w:sz w:val="20"/>
          <w:szCs w:val="20"/>
        </w:rPr>
        <w:t>)</w:t>
      </w:r>
      <w:r w:rsidR="002E20EE" w:rsidRPr="002E20EE">
        <w:rPr>
          <w:rFonts w:ascii="Arial" w:eastAsia="Calibri" w:hAnsi="Arial" w:cs="Arial"/>
          <w:color w:val="17365D"/>
          <w:sz w:val="20"/>
          <w:szCs w:val="20"/>
          <w:vertAlign w:val="superscript"/>
        </w:rPr>
        <w:t>3</w:t>
      </w:r>
      <w:r w:rsidR="00266313">
        <w:rPr>
          <w:rFonts w:ascii="Arial" w:eastAsia="Calibri" w:hAnsi="Arial" w:cs="Arial"/>
          <w:color w:val="17365D"/>
          <w:sz w:val="20"/>
          <w:szCs w:val="20"/>
        </w:rPr>
        <w:t xml:space="preserve">, </w:t>
      </w:r>
      <w:r w:rsidR="007A4649">
        <w:rPr>
          <w:rFonts w:ascii="Arial" w:eastAsia="Calibri" w:hAnsi="Arial" w:cs="Arial"/>
          <w:color w:val="17365D"/>
          <w:sz w:val="20"/>
          <w:szCs w:val="20"/>
        </w:rPr>
        <w:t xml:space="preserve">u iznosu od 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36,7 milijuna kuna što je 80,8% gubitka razdoblja </w:t>
      </w:r>
      <w:r w:rsidR="00D809C6">
        <w:rPr>
          <w:rFonts w:ascii="Arial" w:eastAsia="Calibri" w:hAnsi="Arial" w:cs="Arial"/>
          <w:color w:val="17365D"/>
          <w:sz w:val="20"/>
          <w:szCs w:val="20"/>
        </w:rPr>
        <w:t xml:space="preserve">na razini svih poduzetnika u istom razredu djelatnosti (NKD 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>49.31</w:t>
      </w:r>
      <w:r w:rsidR="00D809C6">
        <w:rPr>
          <w:rFonts w:ascii="Arial" w:eastAsia="Calibri" w:hAnsi="Arial" w:cs="Arial"/>
          <w:color w:val="17365D"/>
          <w:sz w:val="20"/>
          <w:szCs w:val="20"/>
        </w:rPr>
        <w:t>)</w:t>
      </w:r>
      <w:r w:rsidR="007A4649">
        <w:rPr>
          <w:rFonts w:ascii="Arial" w:eastAsia="Calibri" w:hAnsi="Arial" w:cs="Arial"/>
          <w:color w:val="17365D"/>
          <w:sz w:val="20"/>
          <w:szCs w:val="20"/>
        </w:rPr>
        <w:t>.</w:t>
      </w:r>
    </w:p>
    <w:p w:rsidR="00E97781" w:rsidRPr="00E97781" w:rsidRDefault="00E97781" w:rsidP="00D809C6">
      <w:pPr>
        <w:widowControl w:val="0"/>
        <w:tabs>
          <w:tab w:val="left" w:pos="6096"/>
        </w:tabs>
        <w:spacing w:before="180" w:after="0" w:line="240" w:lineRule="auto"/>
        <w:ind w:left="1134" w:hanging="1134"/>
        <w:rPr>
          <w:rFonts w:ascii="Arial" w:eastAsia="Calibri" w:hAnsi="Arial" w:cs="Arial"/>
          <w:b/>
          <w:color w:val="17365D"/>
          <w:sz w:val="18"/>
          <w:szCs w:val="18"/>
        </w:rPr>
      </w:pPr>
      <w:r w:rsidRPr="00E97781">
        <w:rPr>
          <w:rFonts w:ascii="Arial" w:eastAsia="Calibri" w:hAnsi="Arial" w:cs="Arial"/>
          <w:b/>
          <w:color w:val="17365D"/>
          <w:sz w:val="18"/>
          <w:szCs w:val="18"/>
        </w:rPr>
        <w:t>Tablica 2.</w:t>
      </w:r>
      <w:r w:rsidRPr="00E97781">
        <w:rPr>
          <w:rFonts w:ascii="Arial" w:eastAsia="Calibri" w:hAnsi="Arial" w:cs="Arial"/>
          <w:color w:val="17365D"/>
          <w:sz w:val="19"/>
          <w:szCs w:val="19"/>
        </w:rPr>
        <w:tab/>
      </w:r>
      <w:r w:rsidRPr="00E97781">
        <w:rPr>
          <w:rFonts w:ascii="Arial" w:eastAsia="Calibri" w:hAnsi="Arial" w:cs="Arial"/>
          <w:b/>
          <w:color w:val="17365D"/>
          <w:sz w:val="18"/>
          <w:szCs w:val="18"/>
        </w:rPr>
        <w:t>Broj poduzetnika, broj zaposlenih te osnovni financijski rezultati poslovanja poduzetnika u skupini djelatnosti NKD 49.3 i razredima djelatnosti NKD 49.31, NKD 49.32, NKD 49.39 u 2015. godini</w:t>
      </w:r>
    </w:p>
    <w:p w:rsidR="00E97781" w:rsidRPr="00E97781" w:rsidRDefault="00E97781" w:rsidP="00E97781">
      <w:pPr>
        <w:tabs>
          <w:tab w:val="left" w:pos="6096"/>
        </w:tabs>
        <w:spacing w:after="0" w:line="240" w:lineRule="auto"/>
        <w:ind w:left="1134" w:hanging="1134"/>
        <w:jc w:val="right"/>
        <w:rPr>
          <w:rFonts w:ascii="Arial" w:eastAsia="Calibri" w:hAnsi="Arial" w:cs="Arial"/>
          <w:color w:val="17365D"/>
          <w:sz w:val="18"/>
          <w:szCs w:val="16"/>
        </w:rPr>
      </w:pPr>
      <w:r w:rsidRPr="00E97781">
        <w:rPr>
          <w:rFonts w:ascii="Arial" w:eastAsia="Calibri" w:hAnsi="Arial" w:cs="Arial"/>
          <w:color w:val="17365D"/>
          <w:sz w:val="19"/>
          <w:szCs w:val="19"/>
        </w:rPr>
        <w:tab/>
      </w:r>
      <w:r w:rsidRPr="00E97781">
        <w:rPr>
          <w:rFonts w:ascii="Arial" w:eastAsia="Calibri" w:hAnsi="Arial" w:cs="Arial"/>
          <w:color w:val="17365D"/>
          <w:sz w:val="16"/>
          <w:szCs w:val="16"/>
        </w:rPr>
        <w:t>(iznosi u tisućama kuna, prosječne plaće u kunama)</w:t>
      </w:r>
    </w:p>
    <w:tbl>
      <w:tblPr>
        <w:tblW w:w="9922" w:type="dxa"/>
        <w:jc w:val="center"/>
        <w:tblInd w:w="87" w:type="dxa"/>
        <w:tblLayout w:type="fixed"/>
        <w:tblLook w:val="04A0" w:firstRow="1" w:lastRow="0" w:firstColumn="1" w:lastColumn="0" w:noHBand="0" w:noVBand="1"/>
      </w:tblPr>
      <w:tblGrid>
        <w:gridCol w:w="2324"/>
        <w:gridCol w:w="1020"/>
        <w:gridCol w:w="1021"/>
        <w:gridCol w:w="879"/>
        <w:gridCol w:w="879"/>
        <w:gridCol w:w="879"/>
        <w:gridCol w:w="879"/>
        <w:gridCol w:w="1020"/>
        <w:gridCol w:w="1021"/>
      </w:tblGrid>
      <w:tr w:rsidR="00E97781" w:rsidRPr="00E97781" w:rsidTr="007841EF">
        <w:trPr>
          <w:trHeight w:val="624"/>
          <w:jc w:val="center"/>
        </w:trPr>
        <w:tc>
          <w:tcPr>
            <w:tcW w:w="23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778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hr-HR"/>
              </w:rPr>
              <w:t>Opis</w:t>
            </w:r>
          </w:p>
        </w:tc>
        <w:tc>
          <w:tcPr>
            <w:tcW w:w="20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77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NKD 49.3 Ostali kopneni prijevoz putnika</w:t>
            </w:r>
          </w:p>
        </w:tc>
        <w:tc>
          <w:tcPr>
            <w:tcW w:w="175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77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NKD 49.31 Gradski i prigradski kopneni prijevoz putnika</w:t>
            </w:r>
            <w:r w:rsidR="00117B18">
              <w:rPr>
                <w:rStyle w:val="Referencafusnote"/>
                <w:rFonts w:ascii="Arial" w:eastAsia="Times New Roman" w:hAnsi="Arial"/>
                <w:b/>
                <w:bCs/>
                <w:color w:val="FFFFFF"/>
                <w:sz w:val="16"/>
                <w:szCs w:val="16"/>
                <w:lang w:eastAsia="hr-HR"/>
              </w:rPr>
              <w:footnoteReference w:id="4"/>
            </w:r>
          </w:p>
        </w:tc>
        <w:tc>
          <w:tcPr>
            <w:tcW w:w="175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77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NKD 49.32 Taksi služba</w:t>
            </w:r>
          </w:p>
        </w:tc>
        <w:tc>
          <w:tcPr>
            <w:tcW w:w="20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E9778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NKD 49.39 Ostali kopneni prijevoz putnika, d. n.</w:t>
            </w:r>
          </w:p>
        </w:tc>
      </w:tr>
      <w:tr w:rsidR="00E97781" w:rsidRPr="00E97781" w:rsidTr="007841EF">
        <w:trPr>
          <w:trHeight w:val="283"/>
          <w:jc w:val="center"/>
        </w:trPr>
        <w:tc>
          <w:tcPr>
            <w:tcW w:w="23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7A4649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7A464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 xml:space="preserve">2014.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7A4649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7A464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 xml:space="preserve">2015.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7A4649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7A464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 xml:space="preserve">2014.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7A4649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7A464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 xml:space="preserve">2015.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7A4649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7A464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 xml:space="preserve">2014.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7A4649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7A464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 xml:space="preserve">2015.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7A4649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7A464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 xml:space="preserve">2014.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7A4649" w:rsidRDefault="00E97781" w:rsidP="00E97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</w:pPr>
            <w:r w:rsidRPr="007A4649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lang w:eastAsia="hr-HR"/>
              </w:rPr>
              <w:t xml:space="preserve">2015. </w:t>
            </w:r>
          </w:p>
        </w:tc>
      </w:tr>
      <w:tr w:rsidR="00E97781" w:rsidRPr="00E97781" w:rsidTr="007841EF">
        <w:trPr>
          <w:trHeight w:val="283"/>
          <w:jc w:val="center"/>
        </w:trPr>
        <w:tc>
          <w:tcPr>
            <w:tcW w:w="23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Broj poduzetnika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553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34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161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358</w:t>
            </w:r>
          </w:p>
        </w:tc>
      </w:tr>
      <w:tr w:rsidR="00E97781" w:rsidRPr="00E97781" w:rsidTr="007841EF">
        <w:trPr>
          <w:trHeight w:val="283"/>
          <w:jc w:val="center"/>
        </w:trPr>
        <w:tc>
          <w:tcPr>
            <w:tcW w:w="23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Broj dobitaša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286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331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18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19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54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79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214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233</w:t>
            </w:r>
          </w:p>
        </w:tc>
      </w:tr>
      <w:tr w:rsidR="00E97781" w:rsidRPr="00E97781" w:rsidTr="007841EF">
        <w:trPr>
          <w:trHeight w:val="283"/>
          <w:jc w:val="center"/>
        </w:trPr>
        <w:tc>
          <w:tcPr>
            <w:tcW w:w="23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Broj gubitaša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166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222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11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55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82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125</w:t>
            </w:r>
          </w:p>
        </w:tc>
      </w:tr>
      <w:tr w:rsidR="00E97781" w:rsidRPr="00E97781" w:rsidTr="007841EF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8.600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8.964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2.573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2.395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748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5.279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5.815</w:t>
            </w:r>
          </w:p>
        </w:tc>
      </w:tr>
      <w:tr w:rsidR="00E97781" w:rsidRPr="00E97781" w:rsidTr="007841EF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Ukupni prihodi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2.592.453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2.747.082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580.559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572.571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112.345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128.652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1.899.549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2.045.859</w:t>
            </w:r>
          </w:p>
        </w:tc>
      </w:tr>
      <w:tr w:rsidR="00E97781" w:rsidRPr="00E97781" w:rsidTr="007841EF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Ukupni rashodi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2.541.533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2.731.871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580.484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611.815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110.575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123.423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1.850.474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1.996.633</w:t>
            </w:r>
          </w:p>
        </w:tc>
      </w:tr>
      <w:tr w:rsidR="00E97781" w:rsidRPr="00E97781" w:rsidTr="007841EF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Dobit prije oporezivanja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82.573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92.719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8.489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6.199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2.983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10.043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71.100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76.478</w:t>
            </w:r>
          </w:p>
        </w:tc>
      </w:tr>
      <w:tr w:rsidR="00E97781" w:rsidRPr="00E97781" w:rsidTr="007841EF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Gubitak prije oporezivanja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31.652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77.508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8.414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45.443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1.213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4.814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22.024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27.252</w:t>
            </w:r>
          </w:p>
        </w:tc>
      </w:tr>
      <w:tr w:rsidR="00E97781" w:rsidRPr="00E97781" w:rsidTr="007841EF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Porez na dobit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10.159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12.024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410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765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373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9.460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10.886</w:t>
            </w:r>
          </w:p>
        </w:tc>
      </w:tr>
      <w:tr w:rsidR="00E97781" w:rsidRPr="00E97781" w:rsidTr="007841EF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Dobit razdoblja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72.253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80.603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8.079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5.436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2.695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9.670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61.480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65.497</w:t>
            </w:r>
          </w:p>
        </w:tc>
      </w:tr>
      <w:tr w:rsidR="00E97781" w:rsidRPr="00E97781" w:rsidTr="007841EF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Gubitak razdoblja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31.492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77.416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8.414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45.445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1.213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4.814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21.864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27.157</w:t>
            </w:r>
          </w:p>
        </w:tc>
      </w:tr>
      <w:tr w:rsidR="00E97781" w:rsidRPr="00E97781" w:rsidTr="007841EF">
        <w:trPr>
          <w:trHeight w:val="624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  <w:t>40.762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  <w:t>3.187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-335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-40.009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  <w:t>1.481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  <w:t>4.856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  <w:t>39.616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003366"/>
                <w:sz w:val="18"/>
                <w:szCs w:val="18"/>
              </w:rPr>
              <w:t>38.340</w:t>
            </w:r>
          </w:p>
        </w:tc>
      </w:tr>
      <w:tr w:rsidR="00E97781" w:rsidRPr="00E97781" w:rsidTr="007841EF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Izvoz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217.564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251.928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1.476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3.071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423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215.845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248.435</w:t>
            </w:r>
          </w:p>
        </w:tc>
      </w:tr>
      <w:tr w:rsidR="00E97781" w:rsidRPr="00E97781" w:rsidTr="007841EF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Uvoz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60.726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74.542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1.209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4.916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58.999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69.475</w:t>
            </w:r>
          </w:p>
        </w:tc>
      </w:tr>
      <w:tr w:rsidR="00E97781" w:rsidRPr="00E97781" w:rsidTr="007841EF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Trgovinski saldo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156.838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177.387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-1.845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-275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156.847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178.959</w:t>
            </w:r>
          </w:p>
        </w:tc>
      </w:tr>
      <w:tr w:rsidR="00E97781" w:rsidRPr="00E97781" w:rsidTr="007841EF">
        <w:trPr>
          <w:trHeight w:val="454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Investicije u novu dugotrajnu imovinu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168.476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284.492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22.249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32.717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2.842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4.103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143.385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247.672</w:t>
            </w:r>
          </w:p>
        </w:tc>
      </w:tr>
      <w:tr w:rsidR="007841EF" w:rsidRPr="00E97781" w:rsidTr="007841EF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841EF" w:rsidRPr="007841EF" w:rsidRDefault="007841EF" w:rsidP="007841EF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Prihodi od dotacija, držav. potpore i subvencija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7841EF" w:rsidRPr="007841EF" w:rsidRDefault="007841EF" w:rsidP="007841E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841E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200.373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7841EF" w:rsidRPr="007841EF" w:rsidRDefault="007841EF" w:rsidP="007841EF">
            <w:pPr>
              <w:spacing w:after="0" w:line="240" w:lineRule="auto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7841EF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189.678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841EF" w:rsidRPr="007841EF" w:rsidRDefault="007841EF" w:rsidP="00784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04160"/>
                <w:sz w:val="18"/>
                <w:szCs w:val="18"/>
              </w:rPr>
            </w:pPr>
            <w:r w:rsidRPr="007841EF">
              <w:rPr>
                <w:rFonts w:ascii="Arial" w:hAnsi="Arial" w:cs="Arial"/>
                <w:color w:val="104160"/>
                <w:sz w:val="18"/>
                <w:szCs w:val="18"/>
              </w:rPr>
              <w:t>143.388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841EF" w:rsidRPr="007841EF" w:rsidRDefault="007841EF" w:rsidP="00784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04160"/>
                <w:sz w:val="18"/>
                <w:szCs w:val="18"/>
              </w:rPr>
            </w:pPr>
            <w:r w:rsidRPr="007841EF">
              <w:rPr>
                <w:rFonts w:ascii="Arial" w:hAnsi="Arial" w:cs="Arial"/>
                <w:color w:val="104160"/>
                <w:sz w:val="18"/>
                <w:szCs w:val="18"/>
              </w:rPr>
              <w:t>138.126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841EF" w:rsidRPr="007841EF" w:rsidRDefault="007841EF" w:rsidP="00784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04160"/>
                <w:sz w:val="18"/>
                <w:szCs w:val="18"/>
              </w:rPr>
            </w:pPr>
            <w:r w:rsidRPr="007841EF">
              <w:rPr>
                <w:rFonts w:ascii="Arial" w:hAnsi="Arial" w:cs="Arial"/>
                <w:color w:val="104160"/>
                <w:sz w:val="18"/>
                <w:szCs w:val="18"/>
              </w:rPr>
              <w:t>348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841EF" w:rsidRPr="007841EF" w:rsidRDefault="007841EF" w:rsidP="00784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04160"/>
                <w:sz w:val="18"/>
                <w:szCs w:val="18"/>
              </w:rPr>
            </w:pPr>
            <w:r w:rsidRPr="007841EF">
              <w:rPr>
                <w:rFonts w:ascii="Arial" w:hAnsi="Arial" w:cs="Arial"/>
                <w:color w:val="104160"/>
                <w:sz w:val="18"/>
                <w:szCs w:val="18"/>
              </w:rPr>
              <w:t>254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841EF" w:rsidRPr="007841EF" w:rsidRDefault="007841EF" w:rsidP="00784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04160"/>
                <w:sz w:val="18"/>
                <w:szCs w:val="18"/>
              </w:rPr>
            </w:pPr>
            <w:r w:rsidRPr="007841EF">
              <w:rPr>
                <w:rFonts w:ascii="Arial" w:hAnsi="Arial" w:cs="Arial"/>
                <w:color w:val="104160"/>
                <w:sz w:val="18"/>
                <w:szCs w:val="18"/>
              </w:rPr>
              <w:t>56.637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841EF" w:rsidRPr="007841EF" w:rsidRDefault="007841EF" w:rsidP="007841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104160"/>
                <w:sz w:val="18"/>
                <w:szCs w:val="18"/>
              </w:rPr>
            </w:pPr>
            <w:r w:rsidRPr="007841EF">
              <w:rPr>
                <w:rFonts w:ascii="Arial" w:hAnsi="Arial" w:cs="Arial"/>
                <w:color w:val="104160"/>
                <w:sz w:val="18"/>
                <w:szCs w:val="18"/>
              </w:rPr>
              <w:t>51.298</w:t>
            </w:r>
          </w:p>
        </w:tc>
      </w:tr>
      <w:tr w:rsidR="00E97781" w:rsidRPr="00E97781" w:rsidTr="007841EF">
        <w:trPr>
          <w:trHeight w:val="454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E97781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Prosječna mjesečna neto plaća po zaposlenom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4.408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4EBF4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4.444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5.616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5.730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2.548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2.767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4.083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97781" w:rsidRPr="00E97781" w:rsidRDefault="00E97781" w:rsidP="00E97781">
            <w:pPr>
              <w:spacing w:after="0"/>
              <w:jc w:val="right"/>
              <w:rPr>
                <w:rFonts w:ascii="Arial" w:eastAsia="Calibri" w:hAnsi="Arial" w:cs="Arial"/>
                <w:color w:val="003366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003366"/>
                <w:sz w:val="18"/>
                <w:szCs w:val="18"/>
              </w:rPr>
              <w:t>4.132</w:t>
            </w:r>
          </w:p>
        </w:tc>
      </w:tr>
    </w:tbl>
    <w:p w:rsidR="00E97781" w:rsidRPr="00E97781" w:rsidRDefault="00E97781" w:rsidP="00E97781">
      <w:pPr>
        <w:tabs>
          <w:tab w:val="left" w:pos="601"/>
        </w:tabs>
        <w:spacing w:after="0" w:line="288" w:lineRule="auto"/>
        <w:jc w:val="both"/>
        <w:rPr>
          <w:rFonts w:ascii="Arial" w:eastAsia="Times New Roman" w:hAnsi="Arial" w:cs="Arial"/>
          <w:i/>
          <w:color w:val="FF0000"/>
          <w:sz w:val="2"/>
          <w:szCs w:val="16"/>
          <w:lang w:eastAsia="hr-HR"/>
        </w:rPr>
      </w:pPr>
    </w:p>
    <w:p w:rsidR="00E97781" w:rsidRDefault="00E97781" w:rsidP="00E97781">
      <w:pPr>
        <w:tabs>
          <w:tab w:val="left" w:pos="601"/>
        </w:tabs>
        <w:spacing w:before="40" w:after="0"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E97781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 xml:space="preserve">Izvor: Fina, Registar godišnjih financijskih izvještaja, obrada GFI-a za 2015. </w:t>
      </w:r>
      <w:r w:rsidR="00EA0254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g</w:t>
      </w:r>
      <w:r w:rsidRPr="00E97781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odinu</w:t>
      </w:r>
    </w:p>
    <w:p w:rsidR="007841EF" w:rsidRPr="00E97781" w:rsidRDefault="007841EF" w:rsidP="007841EF">
      <w:pPr>
        <w:pageBreakBefore/>
        <w:spacing w:after="0"/>
        <w:jc w:val="both"/>
        <w:rPr>
          <w:rFonts w:ascii="Arial" w:eastAsia="Calibri" w:hAnsi="Arial" w:cs="Arial"/>
          <w:color w:val="17365D"/>
          <w:sz w:val="20"/>
          <w:szCs w:val="20"/>
        </w:rPr>
      </w:pPr>
      <w:r w:rsidRPr="00E97781">
        <w:rPr>
          <w:rFonts w:ascii="Arial" w:eastAsia="Calibri" w:hAnsi="Arial" w:cs="Arial"/>
          <w:color w:val="17365D"/>
          <w:sz w:val="20"/>
          <w:szCs w:val="20"/>
        </w:rPr>
        <w:lastRenderedPageBreak/>
        <w:t>Poduzetnici čija je djelatnost gradski i prigradski kopneni prijevoz putnika (NKD 49.31) obračunali su najvišu prosječnu mjesečnu neto plaću u promatranoj godini, u iznosu od 5.730 kuna, što je za 28,9</w:t>
      </w:r>
      <w:r>
        <w:rPr>
          <w:rFonts w:ascii="Arial" w:eastAsia="Calibri" w:hAnsi="Arial" w:cs="Arial"/>
          <w:color w:val="17365D"/>
          <w:sz w:val="20"/>
          <w:szCs w:val="20"/>
        </w:rPr>
        <w:t xml:space="preserve"> 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>%</w:t>
      </w:r>
      <w:r w:rsidRPr="00E97781">
        <w:rPr>
          <w:rFonts w:ascii="Calibri" w:eastAsia="Calibri" w:hAnsi="Calibri" w:cs="Times New Roman"/>
          <w:color w:val="17365D"/>
        </w:rPr>
        <w:t xml:space="preserve"> 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>više u odnosu na iznos navedene plaće u skupini djelatnosti ostalog kopnenog prijevoza putnika (NKD 49.3).</w:t>
      </w:r>
    </w:p>
    <w:p w:rsidR="00EA0254" w:rsidRPr="00EA0254" w:rsidRDefault="00EA0254" w:rsidP="007841EF">
      <w:pPr>
        <w:widowControl w:val="0"/>
        <w:tabs>
          <w:tab w:val="left" w:pos="601"/>
        </w:tabs>
        <w:spacing w:before="120" w:after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Poduzetnika čija je pretežita djelatnost taksi služba, ukupno </w:t>
      </w:r>
      <w:r w:rsidR="00B37EC9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je </w:t>
      </w:r>
      <w:r>
        <w:rPr>
          <w:rFonts w:ascii="Arial" w:eastAsia="Times New Roman" w:hAnsi="Arial" w:cs="Arial"/>
          <w:color w:val="17365D"/>
          <w:sz w:val="20"/>
          <w:szCs w:val="20"/>
          <w:lang w:eastAsia="hr-HR"/>
        </w:rPr>
        <w:t>161, sa 754 zaposlenih kojima je obračunana prosječna mjesečna neto plaća u iznosu od 2.767 kuna. Navedeni je skup poduzetnika ostvario prihod u iznosu od 128,7 milijuna kuna i dobit u iznosu većem od 4,8 milijuna kuna, u odnosu na nešto manje od 1,5 milijuna kuna</w:t>
      </w:r>
      <w:r w:rsidR="00266313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dobiti</w:t>
      </w:r>
      <w:r>
        <w:rPr>
          <w:rFonts w:ascii="Arial" w:eastAsia="Times New Roman" w:hAnsi="Arial" w:cs="Arial"/>
          <w:color w:val="17365D"/>
          <w:sz w:val="20"/>
          <w:szCs w:val="20"/>
          <w:lang w:eastAsia="hr-HR"/>
        </w:rPr>
        <w:t>, koliko su ostvarili 2014. godine.</w:t>
      </w:r>
    </w:p>
    <w:p w:rsidR="00E97781" w:rsidRPr="00E97781" w:rsidRDefault="00E97781" w:rsidP="00266313">
      <w:pPr>
        <w:widowControl w:val="0"/>
        <w:tabs>
          <w:tab w:val="left" w:pos="1134"/>
        </w:tabs>
        <w:spacing w:before="240" w:after="0" w:line="240" w:lineRule="auto"/>
        <w:ind w:left="1134" w:hanging="1134"/>
        <w:rPr>
          <w:rFonts w:ascii="Arial" w:eastAsia="Calibri" w:hAnsi="Arial" w:cs="Arial"/>
          <w:b/>
          <w:color w:val="17365D"/>
          <w:sz w:val="18"/>
          <w:szCs w:val="18"/>
        </w:rPr>
      </w:pPr>
      <w:r w:rsidRPr="00E97781">
        <w:rPr>
          <w:rFonts w:ascii="Arial" w:eastAsia="Calibri" w:hAnsi="Arial" w:cs="Arial"/>
          <w:b/>
          <w:color w:val="17365D"/>
          <w:sz w:val="18"/>
          <w:szCs w:val="18"/>
        </w:rPr>
        <w:t>Grafikon 1.</w:t>
      </w:r>
      <w:r w:rsidRPr="00E97781">
        <w:rPr>
          <w:rFonts w:ascii="Arial" w:eastAsia="Calibri" w:hAnsi="Arial" w:cs="Arial"/>
          <w:b/>
          <w:color w:val="17365D"/>
          <w:sz w:val="18"/>
          <w:szCs w:val="18"/>
        </w:rPr>
        <w:tab/>
        <w:t>Udio pojedinih odjeljaka djelatnosti (NKD 49, NKD 50, NKD 51, NKD 52, NKD 53) u ukupnim prihodima djelatnosti H – Prijevoz i skladištenje, u 2015. godini</w:t>
      </w:r>
    </w:p>
    <w:p w:rsidR="00E97781" w:rsidRPr="00E97781" w:rsidRDefault="00E97781" w:rsidP="00E97781">
      <w:pPr>
        <w:tabs>
          <w:tab w:val="left" w:pos="1134"/>
        </w:tabs>
        <w:spacing w:after="0"/>
        <w:ind w:left="1134" w:hanging="1134"/>
        <w:rPr>
          <w:rFonts w:ascii="Arial" w:eastAsia="Calibri" w:hAnsi="Arial" w:cs="Arial"/>
          <w:color w:val="17365D"/>
          <w:sz w:val="6"/>
          <w:szCs w:val="19"/>
        </w:rPr>
      </w:pPr>
    </w:p>
    <w:p w:rsidR="007A4649" w:rsidRDefault="00E97781" w:rsidP="007A4649">
      <w:pPr>
        <w:spacing w:after="20" w:line="240" w:lineRule="auto"/>
        <w:jc w:val="center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>
        <w:rPr>
          <w:rFonts w:ascii="Arial" w:eastAsia="Calibri" w:hAnsi="Arial" w:cs="Arial"/>
          <w:noProof/>
          <w:color w:val="17365D"/>
          <w:sz w:val="18"/>
          <w:szCs w:val="18"/>
          <w:lang w:eastAsia="hr-HR"/>
        </w:rPr>
        <w:drawing>
          <wp:inline distT="0" distB="0" distL="0" distR="0" wp14:anchorId="44DF8874" wp14:editId="4E82A16E">
            <wp:extent cx="5173345" cy="2447925"/>
            <wp:effectExtent l="0" t="0" r="8255" b="952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781" w:rsidRPr="00E97781" w:rsidRDefault="00E97781" w:rsidP="007A4649">
      <w:pPr>
        <w:spacing w:after="0" w:line="240" w:lineRule="auto"/>
        <w:jc w:val="center"/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</w:pPr>
      <w:r w:rsidRPr="00E97781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Izvor: Fina, Registar godišnjih financijskih izvještaja, obrada GFI-a za 2015. godinu</w:t>
      </w:r>
    </w:p>
    <w:p w:rsidR="00E97781" w:rsidRPr="00E97781" w:rsidRDefault="00E97781" w:rsidP="00EA0254">
      <w:pPr>
        <w:spacing w:before="240" w:after="0"/>
        <w:jc w:val="both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Ako </w:t>
      </w:r>
      <w:r w:rsidR="004E5C91">
        <w:rPr>
          <w:rFonts w:ascii="Arial" w:eastAsia="Calibri" w:hAnsi="Arial" w:cs="Arial"/>
          <w:color w:val="17365D"/>
          <w:sz w:val="20"/>
          <w:szCs w:val="20"/>
        </w:rPr>
        <w:t>5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 poduzetnika </w:t>
      </w:r>
      <w:r w:rsidR="004E5C91">
        <w:rPr>
          <w:rFonts w:ascii="Arial" w:eastAsia="Calibri" w:hAnsi="Arial" w:cs="Arial"/>
          <w:color w:val="17365D"/>
          <w:sz w:val="20"/>
          <w:szCs w:val="20"/>
        </w:rPr>
        <w:t xml:space="preserve">koji su ostvarili 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>najveć</w:t>
      </w:r>
      <w:r w:rsidR="004E5C91">
        <w:rPr>
          <w:rFonts w:ascii="Arial" w:eastAsia="Calibri" w:hAnsi="Arial" w:cs="Arial"/>
          <w:color w:val="17365D"/>
          <w:sz w:val="20"/>
          <w:szCs w:val="20"/>
        </w:rPr>
        <w:t>i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 ukup</w:t>
      </w:r>
      <w:r w:rsidR="004E5C91">
        <w:rPr>
          <w:rFonts w:ascii="Arial" w:eastAsia="Calibri" w:hAnsi="Arial" w:cs="Arial"/>
          <w:color w:val="17365D"/>
          <w:sz w:val="20"/>
          <w:szCs w:val="20"/>
        </w:rPr>
        <w:t>a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n prihod u skupini djelatnosti 49.3 </w:t>
      </w:r>
      <w:r w:rsidR="004E5C91" w:rsidRPr="004E5C91">
        <w:rPr>
          <w:rFonts w:ascii="Arial" w:eastAsia="Calibri" w:hAnsi="Arial" w:cs="Arial"/>
          <w:color w:val="17365D"/>
          <w:sz w:val="20"/>
          <w:szCs w:val="20"/>
        </w:rPr>
        <w:t>- Ostali kopneni prijevoz putnika</w:t>
      </w:r>
      <w:r w:rsidR="004E5C91">
        <w:rPr>
          <w:rFonts w:ascii="Arial" w:eastAsia="Calibri" w:hAnsi="Arial" w:cs="Arial"/>
          <w:color w:val="17365D"/>
          <w:sz w:val="20"/>
          <w:szCs w:val="20"/>
        </w:rPr>
        <w:t>,</w:t>
      </w:r>
      <w:r w:rsidR="004E5C91" w:rsidRPr="004E5C91">
        <w:rPr>
          <w:rFonts w:ascii="Arial" w:eastAsia="Calibri" w:hAnsi="Arial" w:cs="Arial"/>
          <w:color w:val="17365D"/>
          <w:sz w:val="20"/>
          <w:szCs w:val="20"/>
        </w:rPr>
        <w:t xml:space="preserve"> usporedimo 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>prema novostvorenoj vrijednosti</w:t>
      </w:r>
      <w:r w:rsidR="004E5C91">
        <w:rPr>
          <w:rFonts w:ascii="Arial" w:eastAsia="Calibri" w:hAnsi="Arial" w:cs="Arial"/>
          <w:color w:val="17365D"/>
          <w:sz w:val="20"/>
          <w:szCs w:val="20"/>
        </w:rPr>
        <w:t>,</w:t>
      </w:r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 možemo vidjeti da je </w:t>
      </w:r>
      <w:hyperlink r:id="rId13" w:history="1">
        <w:r w:rsidRPr="00E97781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AUTOTRANS d.o.o.</w:t>
        </w:r>
      </w:hyperlink>
      <w:r w:rsidRPr="00E97781">
        <w:rPr>
          <w:rFonts w:ascii="Arial" w:eastAsia="Calibri" w:hAnsi="Arial" w:cs="Arial"/>
          <w:color w:val="17365D"/>
          <w:sz w:val="20"/>
          <w:szCs w:val="20"/>
        </w:rPr>
        <w:t xml:space="preserve"> prvi sa 114,4 milijuna kuna dok su ukupno svi poduzetnici u prosjeku iskazali novostvorenu vrijednost u iznosu od 1,6 milijuna kuna.</w:t>
      </w:r>
    </w:p>
    <w:p w:rsidR="00E97781" w:rsidRPr="00E97781" w:rsidRDefault="00E97781" w:rsidP="00E97781">
      <w:pPr>
        <w:widowControl w:val="0"/>
        <w:spacing w:before="180" w:after="60" w:line="240" w:lineRule="auto"/>
        <w:ind w:left="1134" w:hanging="1134"/>
        <w:rPr>
          <w:rFonts w:ascii="Arial" w:eastAsia="Calibri" w:hAnsi="Arial" w:cs="Arial"/>
          <w:b/>
          <w:color w:val="17365D"/>
          <w:sz w:val="18"/>
          <w:szCs w:val="18"/>
        </w:rPr>
      </w:pPr>
      <w:r w:rsidRPr="00E97781">
        <w:rPr>
          <w:rFonts w:ascii="Arial" w:eastAsia="Calibri" w:hAnsi="Arial" w:cs="Arial"/>
          <w:b/>
          <w:color w:val="17365D"/>
          <w:sz w:val="18"/>
          <w:szCs w:val="18"/>
        </w:rPr>
        <w:t xml:space="preserve">Grafikon 2. </w:t>
      </w:r>
      <w:r w:rsidRPr="00E97781">
        <w:rPr>
          <w:rFonts w:ascii="Arial" w:eastAsia="Calibri" w:hAnsi="Arial" w:cs="Arial"/>
          <w:b/>
          <w:color w:val="17365D"/>
          <w:sz w:val="18"/>
          <w:szCs w:val="18"/>
        </w:rPr>
        <w:tab/>
        <w:t xml:space="preserve">Usporedba 5 poduzetnika s najvećim ostvarenim prihodima u skupini djelatnosti NKD 49.3 - Ostali kopneni prijevoz putnika, u 2015. godini </w:t>
      </w:r>
      <w:r w:rsidRPr="00E97781">
        <w:rPr>
          <w:rFonts w:ascii="Arial" w:eastAsia="Calibri" w:hAnsi="Arial" w:cs="Arial"/>
          <w:b/>
          <w:color w:val="17365D"/>
          <w:sz w:val="18"/>
          <w:szCs w:val="18"/>
          <w:u w:val="single"/>
          <w:shd w:val="clear" w:color="auto" w:fill="FFFFFF"/>
        </w:rPr>
        <w:t>prema novostvorenoj vrijednosti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260"/>
      </w:tblGrid>
      <w:tr w:rsidR="00E97781" w:rsidRPr="00E97781" w:rsidTr="00015175">
        <w:trPr>
          <w:trHeight w:val="621"/>
        </w:trPr>
        <w:tc>
          <w:tcPr>
            <w:tcW w:w="6521" w:type="dxa"/>
            <w:vMerge w:val="restart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:rsidR="00E97781" w:rsidRPr="00E97781" w:rsidRDefault="00E97781" w:rsidP="00E97781">
            <w:pPr>
              <w:spacing w:after="0" w:line="240" w:lineRule="auto"/>
              <w:rPr>
                <w:rFonts w:ascii="Calibri" w:eastAsia="Calibri" w:hAnsi="Calibri" w:cs="Times New Roman"/>
                <w:color w:val="0F243E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>
                  <wp:extent cx="4015105" cy="2305685"/>
                  <wp:effectExtent l="0" t="0" r="4445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105" cy="230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Calibri" w:hAnsi="Arial" w:cs="Arial"/>
                <w:color w:val="17365D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17365D"/>
                <w:sz w:val="18"/>
                <w:szCs w:val="18"/>
              </w:rPr>
              <w:t xml:space="preserve">A </w:t>
            </w:r>
            <w:hyperlink r:id="rId15" w:history="1">
              <w:r w:rsidRPr="00E97781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AUTOTRANS d.o.o.</w:t>
              </w:r>
            </w:hyperlink>
          </w:p>
          <w:p w:rsidR="00E97781" w:rsidRPr="00E97781" w:rsidRDefault="00E97781" w:rsidP="00E97781">
            <w:pPr>
              <w:spacing w:after="0" w:line="240" w:lineRule="auto"/>
              <w:rPr>
                <w:rFonts w:ascii="Arial" w:eastAsia="Calibri" w:hAnsi="Arial" w:cs="Arial"/>
                <w:b/>
                <w:color w:val="17365D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17365D"/>
                <w:sz w:val="18"/>
                <w:szCs w:val="18"/>
              </w:rPr>
              <w:t>Temeljni kapital 74.833.600 kuna</w:t>
            </w:r>
          </w:p>
        </w:tc>
      </w:tr>
      <w:tr w:rsidR="00E97781" w:rsidRPr="00E97781" w:rsidTr="00015175">
        <w:trPr>
          <w:trHeight w:val="621"/>
        </w:trPr>
        <w:tc>
          <w:tcPr>
            <w:tcW w:w="6521" w:type="dxa"/>
            <w:vMerge/>
            <w:tcBorders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:rsidR="00E97781" w:rsidRPr="00E97781" w:rsidRDefault="00E97781" w:rsidP="00E97781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hr-HR"/>
              </w:rPr>
            </w:pP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Calibri" w:hAnsi="Arial" w:cs="Arial"/>
                <w:color w:val="17365D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17365D"/>
                <w:sz w:val="18"/>
                <w:szCs w:val="18"/>
              </w:rPr>
              <w:t xml:space="preserve">B </w:t>
            </w:r>
            <w:hyperlink r:id="rId16" w:history="1">
              <w:r w:rsidRPr="00E97781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ČAZMATRANS PROMET d.o.o.</w:t>
              </w:r>
            </w:hyperlink>
          </w:p>
          <w:p w:rsidR="00E97781" w:rsidRPr="00E97781" w:rsidRDefault="00E97781" w:rsidP="00E97781">
            <w:pPr>
              <w:spacing w:after="0" w:line="240" w:lineRule="auto"/>
              <w:rPr>
                <w:rFonts w:ascii="Arial" w:eastAsia="Calibri" w:hAnsi="Arial" w:cs="Arial"/>
                <w:b/>
                <w:color w:val="17365D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17365D"/>
                <w:sz w:val="18"/>
                <w:szCs w:val="18"/>
              </w:rPr>
              <w:t>Temeljni kapital 2.610.000 kuna</w:t>
            </w:r>
          </w:p>
        </w:tc>
      </w:tr>
      <w:tr w:rsidR="00E97781" w:rsidRPr="00E97781" w:rsidTr="00015175">
        <w:trPr>
          <w:trHeight w:val="621"/>
        </w:trPr>
        <w:tc>
          <w:tcPr>
            <w:tcW w:w="6521" w:type="dxa"/>
            <w:vMerge/>
            <w:tcBorders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:rsidR="00E97781" w:rsidRPr="00E97781" w:rsidRDefault="00E97781" w:rsidP="00E97781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hr-HR"/>
              </w:rPr>
            </w:pP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Calibri" w:hAnsi="Arial" w:cs="Arial"/>
                <w:color w:val="17365D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17365D"/>
                <w:sz w:val="18"/>
                <w:szCs w:val="18"/>
              </w:rPr>
              <w:t xml:space="preserve">C </w:t>
            </w:r>
            <w:hyperlink r:id="rId17" w:history="1">
              <w:r w:rsidRPr="00E97781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ČAZMATRANS NOVA d.o.o.</w:t>
              </w:r>
            </w:hyperlink>
            <w:r w:rsidRPr="00E97781">
              <w:rPr>
                <w:rFonts w:ascii="Arial" w:eastAsia="Calibri" w:hAnsi="Arial" w:cs="Arial"/>
                <w:color w:val="17365D"/>
                <w:sz w:val="18"/>
                <w:szCs w:val="18"/>
              </w:rPr>
              <w:t xml:space="preserve"> Temeljni kapital 13.254.500 kuna</w:t>
            </w:r>
          </w:p>
        </w:tc>
      </w:tr>
      <w:tr w:rsidR="00E97781" w:rsidRPr="00E97781" w:rsidTr="00015175">
        <w:trPr>
          <w:trHeight w:val="621"/>
        </w:trPr>
        <w:tc>
          <w:tcPr>
            <w:tcW w:w="6521" w:type="dxa"/>
            <w:vMerge/>
            <w:tcBorders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:rsidR="00E97781" w:rsidRPr="00E97781" w:rsidRDefault="00E97781" w:rsidP="00E97781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hr-HR"/>
              </w:rPr>
            </w:pP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Calibri" w:hAnsi="Arial" w:cs="Arial"/>
                <w:color w:val="17365D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17365D"/>
                <w:sz w:val="18"/>
                <w:szCs w:val="18"/>
              </w:rPr>
              <w:t xml:space="preserve">D </w:t>
            </w:r>
            <w:hyperlink r:id="rId18" w:history="1">
              <w:r w:rsidRPr="00E97781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PROMETd.o.o.</w:t>
              </w:r>
            </w:hyperlink>
          </w:p>
          <w:p w:rsidR="00E97781" w:rsidRPr="00E97781" w:rsidRDefault="00E97781" w:rsidP="00E97781">
            <w:pPr>
              <w:spacing w:after="0" w:line="240" w:lineRule="auto"/>
              <w:rPr>
                <w:rFonts w:ascii="Arial" w:eastAsia="Calibri" w:hAnsi="Arial" w:cs="Arial"/>
                <w:color w:val="17365D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17365D"/>
                <w:sz w:val="18"/>
                <w:szCs w:val="18"/>
              </w:rPr>
              <w:t>Temeljni kapital 40.747.800 kuna</w:t>
            </w:r>
          </w:p>
        </w:tc>
      </w:tr>
      <w:tr w:rsidR="00E97781" w:rsidRPr="00E97781" w:rsidTr="00015175">
        <w:trPr>
          <w:trHeight w:val="621"/>
        </w:trPr>
        <w:tc>
          <w:tcPr>
            <w:tcW w:w="6521" w:type="dxa"/>
            <w:vMerge/>
            <w:tcBorders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:rsidR="00E97781" w:rsidRPr="00E97781" w:rsidRDefault="00E97781" w:rsidP="00E97781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hr-HR"/>
              </w:rPr>
            </w:pP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Calibri" w:hAnsi="Arial" w:cs="Arial"/>
                <w:color w:val="17365D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b/>
                <w:color w:val="17365D"/>
                <w:sz w:val="18"/>
                <w:szCs w:val="18"/>
              </w:rPr>
              <w:t xml:space="preserve">E </w:t>
            </w:r>
            <w:hyperlink r:id="rId19" w:history="1">
              <w:r w:rsidRPr="00E97781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KD AUTOTROLEJ d.o.o.</w:t>
              </w:r>
            </w:hyperlink>
          </w:p>
          <w:p w:rsidR="00E97781" w:rsidRPr="00E97781" w:rsidRDefault="00E97781" w:rsidP="00E97781">
            <w:pPr>
              <w:spacing w:after="0" w:line="240" w:lineRule="auto"/>
              <w:rPr>
                <w:rFonts w:ascii="Arial" w:eastAsia="Calibri" w:hAnsi="Arial" w:cs="Arial"/>
                <w:b/>
                <w:color w:val="17365D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17365D"/>
                <w:sz w:val="18"/>
                <w:szCs w:val="18"/>
              </w:rPr>
              <w:t>Temeljni kapital 13.201.800 kuna</w:t>
            </w:r>
            <w:r w:rsidRPr="00E97781">
              <w:rPr>
                <w:rFonts w:ascii="Arial" w:eastAsia="Calibri" w:hAnsi="Arial" w:cs="Arial"/>
                <w:b/>
                <w:color w:val="17365D"/>
                <w:sz w:val="18"/>
                <w:szCs w:val="18"/>
              </w:rPr>
              <w:t xml:space="preserve"> </w:t>
            </w:r>
          </w:p>
        </w:tc>
      </w:tr>
      <w:tr w:rsidR="00E97781" w:rsidRPr="00E97781" w:rsidTr="00015175">
        <w:trPr>
          <w:trHeight w:val="621"/>
        </w:trPr>
        <w:tc>
          <w:tcPr>
            <w:tcW w:w="6521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E97781" w:rsidRPr="00E97781" w:rsidRDefault="00E97781" w:rsidP="00E97781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hr-HR"/>
              </w:rPr>
            </w:pP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97781" w:rsidRPr="00E97781" w:rsidRDefault="00E97781" w:rsidP="00E97781">
            <w:pPr>
              <w:spacing w:after="0" w:line="240" w:lineRule="auto"/>
              <w:rPr>
                <w:rFonts w:ascii="Arial" w:eastAsia="Calibri" w:hAnsi="Arial" w:cs="Arial"/>
                <w:color w:val="17365D"/>
                <w:sz w:val="18"/>
                <w:szCs w:val="18"/>
              </w:rPr>
            </w:pPr>
            <w:r w:rsidRPr="00E97781">
              <w:rPr>
                <w:rFonts w:ascii="Arial" w:eastAsia="Calibri" w:hAnsi="Arial" w:cs="Arial"/>
                <w:color w:val="244061"/>
                <w:sz w:val="18"/>
                <w:szCs w:val="18"/>
              </w:rPr>
              <w:t>*Prosjek/ novostvorena vrijednost poduzetnika na razini RH</w:t>
            </w:r>
          </w:p>
        </w:tc>
      </w:tr>
    </w:tbl>
    <w:p w:rsidR="00E97781" w:rsidRPr="00E97781" w:rsidRDefault="00E97781" w:rsidP="00E97781">
      <w:pPr>
        <w:spacing w:before="40" w:after="0" w:line="240" w:lineRule="auto"/>
        <w:jc w:val="both"/>
        <w:rPr>
          <w:rFonts w:ascii="Arial" w:eastAsia="Times New Roman" w:hAnsi="Arial" w:cs="Times New Roman"/>
          <w:i/>
          <w:color w:val="1F497D"/>
          <w:sz w:val="16"/>
          <w:szCs w:val="16"/>
          <w:lang w:eastAsia="hr-HR"/>
        </w:rPr>
      </w:pPr>
      <w:r w:rsidRPr="00E97781">
        <w:rPr>
          <w:rFonts w:ascii="Arial" w:eastAsia="Calibri" w:hAnsi="Arial" w:cs="Arial"/>
          <w:i/>
          <w:color w:val="17365D"/>
          <w:sz w:val="16"/>
          <w:szCs w:val="16"/>
        </w:rPr>
        <w:t xml:space="preserve">Izvor: Fina, web servis – </w:t>
      </w:r>
      <w:hyperlink r:id="rId20" w:history="1">
        <w:r w:rsidRPr="00E97781">
          <w:rPr>
            <w:rFonts w:ascii="Arial" w:eastAsia="Calibri" w:hAnsi="Arial" w:cs="Arial"/>
            <w:i/>
            <w:color w:val="0000FF"/>
            <w:sz w:val="16"/>
            <w:szCs w:val="16"/>
            <w:u w:val="single"/>
          </w:rPr>
          <w:t>info.BIZ</w:t>
        </w:r>
      </w:hyperlink>
    </w:p>
    <w:p w:rsidR="00E97781" w:rsidRPr="00E97781" w:rsidRDefault="00E97781" w:rsidP="00E97781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17365D"/>
          <w:sz w:val="2"/>
          <w:szCs w:val="16"/>
          <w:lang w:eastAsia="hr-HR"/>
        </w:rPr>
      </w:pPr>
    </w:p>
    <w:p w:rsidR="00E97781" w:rsidRPr="007841EF" w:rsidRDefault="00E97781" w:rsidP="007841EF">
      <w:pPr>
        <w:spacing w:before="120" w:after="0" w:line="240" w:lineRule="auto"/>
        <w:jc w:val="both"/>
        <w:rPr>
          <w:rFonts w:ascii="Arial" w:eastAsia="Calibri" w:hAnsi="Arial" w:cs="Arial"/>
          <w:i/>
          <w:color w:val="0000FF"/>
          <w:sz w:val="16"/>
          <w:szCs w:val="16"/>
          <w:u w:val="single"/>
          <w:lang w:eastAsia="hr-HR"/>
        </w:rPr>
      </w:pPr>
      <w:r w:rsidRPr="007841EF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 xml:space="preserve">Više o rezultatima poslovanja poduzetnika po područjima djelatnosti i po drugim kriterijima, prezentirano je u </w:t>
      </w:r>
      <w:hyperlink r:id="rId21" w:history="1">
        <w:r w:rsidRPr="007841EF">
          <w:rPr>
            <w:rFonts w:ascii="Arial" w:eastAsia="Times New Roman" w:hAnsi="Arial" w:cs="Arial"/>
            <w:i/>
            <w:color w:val="0000BF"/>
            <w:sz w:val="16"/>
            <w:szCs w:val="16"/>
            <w:u w:val="single"/>
            <w:lang w:eastAsia="hr-HR"/>
          </w:rPr>
          <w:t>standardnim analizama</w:t>
        </w:r>
      </w:hyperlink>
      <w:r w:rsidRPr="007841EF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 xml:space="preserve"> rezultata poslovanja poduzetnika RH, po županijama i po gradovima i općinama u 2014. g. Pojedinačni podaci o rezultatima poslovanja poduzetnika dostupni su besplatno na</w:t>
      </w:r>
      <w:r w:rsidRPr="007841EF">
        <w:rPr>
          <w:rFonts w:ascii="Arial" w:eastAsia="Calibri" w:hAnsi="Arial" w:cs="Arial"/>
          <w:i/>
          <w:color w:val="17365D"/>
          <w:sz w:val="16"/>
          <w:szCs w:val="16"/>
          <w:lang w:eastAsia="hr-HR"/>
        </w:rPr>
        <w:t xml:space="preserve"> </w:t>
      </w:r>
      <w:hyperlink r:id="rId22" w:history="1">
        <w:r w:rsidRPr="007841EF">
          <w:rPr>
            <w:rFonts w:ascii="Arial" w:eastAsia="Calibri" w:hAnsi="Arial" w:cs="Arial"/>
            <w:i/>
            <w:color w:val="0000FF"/>
            <w:sz w:val="16"/>
            <w:szCs w:val="16"/>
            <w:u w:val="single"/>
            <w:lang w:eastAsia="hr-HR"/>
          </w:rPr>
          <w:t>RGFI – javna objava</w:t>
        </w:r>
      </w:hyperlink>
      <w:r w:rsidRPr="007841EF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 xml:space="preserve"> </w:t>
      </w:r>
      <w:r w:rsidRPr="007841EF">
        <w:rPr>
          <w:rFonts w:ascii="Arial" w:eastAsia="Times New Roman" w:hAnsi="Arial" w:cs="Arial"/>
          <w:i/>
          <w:color w:val="17375E"/>
          <w:sz w:val="16"/>
          <w:szCs w:val="16"/>
          <w:lang w:eastAsia="hr-HR"/>
        </w:rPr>
        <w:t>i na</w:t>
      </w:r>
      <w:r w:rsidRPr="007841EF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 xml:space="preserve"> </w:t>
      </w:r>
      <w:hyperlink r:id="rId23" w:history="1">
        <w:r w:rsidRPr="007841EF">
          <w:rPr>
            <w:rFonts w:ascii="Arial" w:eastAsia="Calibri" w:hAnsi="Arial" w:cs="Arial"/>
            <w:i/>
            <w:color w:val="0000FF"/>
            <w:sz w:val="16"/>
            <w:szCs w:val="16"/>
            <w:u w:val="single"/>
            <w:lang w:eastAsia="hr-HR"/>
          </w:rPr>
          <w:t>Transparentno.hr</w:t>
        </w:r>
      </w:hyperlink>
    </w:p>
    <w:p w:rsidR="00E97781" w:rsidRPr="007841EF" w:rsidRDefault="00E97781" w:rsidP="00E97781">
      <w:pPr>
        <w:spacing w:before="120" w:after="0" w:line="240" w:lineRule="auto"/>
        <w:jc w:val="both"/>
        <w:rPr>
          <w:rFonts w:ascii="Arial" w:eastAsia="Calibri" w:hAnsi="Arial" w:cs="Arial"/>
          <w:i/>
          <w:color w:val="0F243E"/>
          <w:sz w:val="16"/>
          <w:szCs w:val="16"/>
        </w:rPr>
      </w:pPr>
      <w:r w:rsidRPr="007841EF">
        <w:rPr>
          <w:rFonts w:ascii="Arial" w:eastAsia="Times New Roman" w:hAnsi="Arial" w:cs="Arial"/>
          <w:i/>
          <w:color w:val="17365D"/>
          <w:sz w:val="16"/>
          <w:szCs w:val="16"/>
          <w:lang w:eastAsia="hr-HR"/>
        </w:rPr>
        <w:t>Pojedinačni podaci o rezultatima poslovanja poduzetnika dostupni su besplatno na</w:t>
      </w:r>
      <w:r w:rsidRPr="007841EF">
        <w:rPr>
          <w:rFonts w:ascii="Arial" w:eastAsia="Calibri" w:hAnsi="Arial" w:cs="Arial"/>
          <w:i/>
          <w:color w:val="17365D"/>
          <w:sz w:val="16"/>
          <w:szCs w:val="16"/>
          <w:lang w:eastAsia="hr-HR"/>
        </w:rPr>
        <w:t xml:space="preserve"> </w:t>
      </w:r>
      <w:hyperlink r:id="rId24" w:history="1">
        <w:r w:rsidRPr="007841EF">
          <w:rPr>
            <w:rFonts w:ascii="Arial" w:eastAsia="Calibri" w:hAnsi="Arial" w:cs="Arial"/>
            <w:i/>
            <w:color w:val="0000FF"/>
            <w:sz w:val="16"/>
            <w:szCs w:val="16"/>
            <w:u w:val="single"/>
            <w:lang w:eastAsia="hr-HR"/>
          </w:rPr>
          <w:t>RGFI – javna objava</w:t>
        </w:r>
      </w:hyperlink>
      <w:r w:rsidRPr="007841EF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 xml:space="preserve"> </w:t>
      </w:r>
      <w:r w:rsidRPr="007841EF">
        <w:rPr>
          <w:rFonts w:ascii="Arial" w:eastAsia="Times New Roman" w:hAnsi="Arial" w:cs="Arial"/>
          <w:i/>
          <w:color w:val="17375E"/>
          <w:sz w:val="16"/>
          <w:szCs w:val="16"/>
          <w:lang w:eastAsia="hr-HR"/>
        </w:rPr>
        <w:t>i na</w:t>
      </w:r>
      <w:r w:rsidRPr="007841EF">
        <w:rPr>
          <w:rFonts w:ascii="Arial" w:eastAsia="Calibri" w:hAnsi="Arial" w:cs="Arial"/>
          <w:i/>
          <w:color w:val="0F243E"/>
          <w:sz w:val="16"/>
          <w:szCs w:val="16"/>
          <w:lang w:eastAsia="hr-HR"/>
        </w:rPr>
        <w:t xml:space="preserve"> </w:t>
      </w:r>
      <w:hyperlink r:id="rId25" w:history="1">
        <w:r w:rsidRPr="007841EF">
          <w:rPr>
            <w:rFonts w:ascii="Arial" w:eastAsia="Calibri" w:hAnsi="Arial" w:cs="Arial"/>
            <w:i/>
            <w:color w:val="0000FF"/>
            <w:sz w:val="16"/>
            <w:szCs w:val="16"/>
            <w:u w:val="single"/>
            <w:lang w:eastAsia="hr-HR"/>
          </w:rPr>
          <w:t>Transparentno.hr</w:t>
        </w:r>
      </w:hyperlink>
      <w:r w:rsidRPr="007841EF">
        <w:rPr>
          <w:rFonts w:ascii="Arial" w:eastAsia="Calibri" w:hAnsi="Arial" w:cs="Arial"/>
          <w:i/>
          <w:color w:val="0000FF"/>
          <w:sz w:val="16"/>
          <w:szCs w:val="16"/>
          <w:u w:val="single"/>
          <w:lang w:eastAsia="hr-HR"/>
        </w:rPr>
        <w:t xml:space="preserve"> </w:t>
      </w:r>
      <w:r w:rsidRPr="007841EF">
        <w:rPr>
          <w:rFonts w:ascii="Arial" w:eastAsia="Calibri" w:hAnsi="Arial" w:cs="Arial"/>
          <w:i/>
          <w:color w:val="1A3D68"/>
          <w:sz w:val="16"/>
          <w:szCs w:val="16"/>
        </w:rPr>
        <w:t xml:space="preserve">a uz naknadu na </w:t>
      </w:r>
      <w:hyperlink r:id="rId26" w:history="1">
        <w:r w:rsidRPr="007841EF">
          <w:rPr>
            <w:rFonts w:ascii="Arial" w:eastAsia="Calibri" w:hAnsi="Arial" w:cs="Arial"/>
            <w:i/>
            <w:color w:val="0000FF"/>
            <w:sz w:val="16"/>
            <w:szCs w:val="16"/>
            <w:u w:val="single"/>
          </w:rPr>
          <w:t>info.BIZ servisu</w:t>
        </w:r>
      </w:hyperlink>
      <w:r w:rsidRPr="007841EF">
        <w:rPr>
          <w:rFonts w:ascii="Arial" w:eastAsia="Calibri" w:hAnsi="Arial" w:cs="Arial"/>
          <w:i/>
          <w:color w:val="0F243E"/>
          <w:sz w:val="16"/>
          <w:szCs w:val="16"/>
        </w:rPr>
        <w:t xml:space="preserve">, na </w:t>
      </w:r>
      <w:hyperlink r:id="rId27" w:history="1">
        <w:r w:rsidRPr="007841EF">
          <w:rPr>
            <w:rFonts w:ascii="Arial" w:eastAsia="Calibri" w:hAnsi="Arial" w:cs="Arial"/>
            <w:i/>
            <w:color w:val="0000FF"/>
            <w:sz w:val="16"/>
            <w:szCs w:val="16"/>
            <w:u w:val="single"/>
          </w:rPr>
          <w:t>servisu RGFI</w:t>
        </w:r>
      </w:hyperlink>
      <w:r w:rsidRPr="007841EF">
        <w:rPr>
          <w:rFonts w:ascii="Arial" w:eastAsia="Calibri" w:hAnsi="Arial" w:cs="Arial"/>
          <w:i/>
          <w:color w:val="0F243E"/>
          <w:sz w:val="16"/>
          <w:szCs w:val="16"/>
        </w:rPr>
        <w:t xml:space="preserve">, </w:t>
      </w:r>
      <w:r w:rsidRPr="007841EF">
        <w:rPr>
          <w:rFonts w:ascii="Arial" w:eastAsia="Calibri" w:hAnsi="Arial" w:cs="Arial"/>
          <w:i/>
          <w:color w:val="1A3D68"/>
          <w:sz w:val="16"/>
          <w:szCs w:val="16"/>
        </w:rPr>
        <w:t xml:space="preserve">u jedinicama Finine poslovne mreže i narudžbom putem e-pošte, na adresi </w:t>
      </w:r>
      <w:hyperlink r:id="rId28" w:history="1">
        <w:r w:rsidRPr="007841EF">
          <w:rPr>
            <w:rFonts w:ascii="Arial" w:eastAsia="Calibri" w:hAnsi="Arial" w:cs="Arial"/>
            <w:i/>
            <w:color w:val="0000FF"/>
            <w:sz w:val="16"/>
            <w:szCs w:val="16"/>
            <w:u w:val="single"/>
          </w:rPr>
          <w:t>rgfi@fina.hr</w:t>
        </w:r>
      </w:hyperlink>
    </w:p>
    <w:p w:rsidR="00DB5805" w:rsidRPr="007841EF" w:rsidRDefault="00E97781" w:rsidP="00E97781">
      <w:pPr>
        <w:spacing w:before="120" w:after="120" w:line="240" w:lineRule="auto"/>
        <w:jc w:val="both"/>
        <w:rPr>
          <w:rFonts w:ascii="Arial" w:eastAsia="Times New Roman" w:hAnsi="Arial" w:cs="Times New Roman"/>
          <w:i/>
          <w:color w:val="17365D"/>
          <w:sz w:val="16"/>
          <w:szCs w:val="16"/>
          <w:lang w:eastAsia="hr-HR"/>
        </w:rPr>
      </w:pPr>
      <w:r w:rsidRPr="007841EF">
        <w:rPr>
          <w:rFonts w:ascii="Arial" w:eastAsia="Calibri" w:hAnsi="Arial" w:cs="Arial"/>
          <w:bCs/>
          <w:i/>
          <w:color w:val="17365D"/>
          <w:sz w:val="16"/>
          <w:szCs w:val="16"/>
        </w:rPr>
        <w:t xml:space="preserve">Informacija o tome je li poslovni subjekt u blokadi ili ne, dostupna je korištenjem usluge </w:t>
      </w:r>
      <w:hyperlink r:id="rId29" w:history="1">
        <w:r w:rsidRPr="007841EF">
          <w:rPr>
            <w:rFonts w:ascii="Arial" w:eastAsia="Calibri" w:hAnsi="Arial" w:cs="Arial"/>
            <w:bCs/>
            <w:i/>
            <w:color w:val="0000BF"/>
            <w:sz w:val="16"/>
            <w:szCs w:val="16"/>
            <w:u w:val="single"/>
          </w:rPr>
          <w:t>FINA InfoBlokade</w:t>
        </w:r>
      </w:hyperlink>
      <w:r w:rsidRPr="007841EF">
        <w:rPr>
          <w:rFonts w:ascii="Arial" w:eastAsia="Calibri" w:hAnsi="Arial" w:cs="Arial"/>
          <w:bCs/>
          <w:i/>
          <w:color w:val="17365D"/>
          <w:sz w:val="16"/>
          <w:szCs w:val="16"/>
        </w:rPr>
        <w:t xml:space="preserve"> slanjem SMS poruku na broj 818058 – naknada 10,00 kuna + PDV.</w:t>
      </w:r>
    </w:p>
    <w:sectPr w:rsidR="00DB5805" w:rsidRPr="007841EF" w:rsidSect="007841EF">
      <w:headerReference w:type="default" r:id="rId30"/>
      <w:type w:val="continuous"/>
      <w:pgSz w:w="11906" w:h="16838"/>
      <w:pgMar w:top="1021" w:right="90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3C" w:rsidRDefault="00255A3C" w:rsidP="00E97781">
      <w:pPr>
        <w:spacing w:after="0" w:line="240" w:lineRule="auto"/>
      </w:pPr>
      <w:r>
        <w:separator/>
      </w:r>
    </w:p>
  </w:endnote>
  <w:endnote w:type="continuationSeparator" w:id="0">
    <w:p w:rsidR="00255A3C" w:rsidRDefault="00255A3C" w:rsidP="00E9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3C" w:rsidRDefault="00255A3C" w:rsidP="00E97781">
      <w:pPr>
        <w:spacing w:after="0" w:line="240" w:lineRule="auto"/>
      </w:pPr>
      <w:r>
        <w:separator/>
      </w:r>
    </w:p>
  </w:footnote>
  <w:footnote w:type="continuationSeparator" w:id="0">
    <w:p w:rsidR="00255A3C" w:rsidRDefault="00255A3C" w:rsidP="00E97781">
      <w:pPr>
        <w:spacing w:after="0" w:line="240" w:lineRule="auto"/>
      </w:pPr>
      <w:r>
        <w:continuationSeparator/>
      </w:r>
    </w:p>
  </w:footnote>
  <w:footnote w:id="1">
    <w:p w:rsidR="003A7998" w:rsidRPr="003A7998" w:rsidRDefault="003A7998" w:rsidP="003A7998">
      <w:pPr>
        <w:pStyle w:val="Tekstfusnote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3A7998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3A7998">
        <w:rPr>
          <w:rFonts w:ascii="Arial" w:hAnsi="Arial" w:cs="Arial"/>
          <w:color w:val="244061" w:themeColor="accent1" w:themeShade="80"/>
          <w:sz w:val="16"/>
          <w:szCs w:val="16"/>
        </w:rPr>
        <w:t xml:space="preserve"> Ovaj razred djelatnosti uključuje kopneni prijevoz putnika gradskim i prigradskim prijevoznim sustavima kao što su autobusi, tramvaji, ulična vozila, trolejbusi, podzemna željeznica, nadzemna željeznica itd. Djelatnost prometa obično se realizira na redovitim linijama koje poštuju vozni red te preuzimaju i prevoze putnike na utvrđenim postajama.</w:t>
      </w:r>
    </w:p>
  </w:footnote>
  <w:footnote w:id="2">
    <w:p w:rsidR="003A7998" w:rsidRPr="003A7998" w:rsidRDefault="003A7998" w:rsidP="003A7998">
      <w:pPr>
        <w:pStyle w:val="Tekstfusnote"/>
        <w:spacing w:before="2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3A7998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3A7998">
        <w:rPr>
          <w:rFonts w:ascii="Arial" w:hAnsi="Arial" w:cs="Arial"/>
          <w:color w:val="244061" w:themeColor="accent1" w:themeShade="80"/>
          <w:sz w:val="16"/>
          <w:szCs w:val="16"/>
        </w:rPr>
        <w:t xml:space="preserve"> Ostali kopneni prijevoz putnika uključuje redoviti autobusni prijevoz, dugolinijski, čarterske vožnje, izlete i druge povremene prijevozne usluge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, </w:t>
      </w:r>
      <w:r w:rsidRPr="003A7998">
        <w:rPr>
          <w:rFonts w:ascii="Arial" w:hAnsi="Arial" w:cs="Arial"/>
          <w:color w:val="244061" w:themeColor="accent1" w:themeShade="80"/>
          <w:sz w:val="16"/>
          <w:szCs w:val="16"/>
        </w:rPr>
        <w:t>prijevozna sredstva unutar aerodroma</w:t>
      </w:r>
      <w:r w:rsidR="00150396">
        <w:rPr>
          <w:rFonts w:ascii="Arial" w:hAnsi="Arial" w:cs="Arial"/>
          <w:color w:val="244061" w:themeColor="accent1" w:themeShade="80"/>
          <w:sz w:val="16"/>
          <w:szCs w:val="16"/>
        </w:rPr>
        <w:t xml:space="preserve">, </w:t>
      </w:r>
      <w:r w:rsidRPr="003A7998">
        <w:rPr>
          <w:rFonts w:ascii="Arial" w:hAnsi="Arial" w:cs="Arial"/>
          <w:color w:val="244061" w:themeColor="accent1" w:themeShade="80"/>
          <w:sz w:val="16"/>
          <w:szCs w:val="16"/>
        </w:rPr>
        <w:t>prijevoz školskim autobusima i autobusima za prijevoz radnika na posao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 i sl.</w:t>
      </w:r>
    </w:p>
  </w:footnote>
  <w:footnote w:id="3">
    <w:p w:rsidR="00B55C65" w:rsidRPr="00B55C65" w:rsidRDefault="00B55C65" w:rsidP="00B55C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55C65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B55C65">
        <w:rPr>
          <w:rFonts w:ascii="Arial" w:hAnsi="Arial" w:cs="Arial"/>
          <w:color w:val="244061" w:themeColor="accent1" w:themeShade="80"/>
          <w:sz w:val="16"/>
          <w:szCs w:val="16"/>
        </w:rPr>
        <w:t xml:space="preserve"> Financijska agencija – Registar godišnjih financijskih izvještaja</w:t>
      </w:r>
      <w:r w:rsidRPr="00B55C65">
        <w:rPr>
          <w:rFonts w:ascii="Arial" w:hAnsi="Arial" w:cs="Arial"/>
          <w:sz w:val="16"/>
          <w:szCs w:val="16"/>
        </w:rPr>
        <w:t xml:space="preserve">, </w:t>
      </w:r>
      <w:hyperlink r:id="rId1" w:history="1">
        <w:r w:rsidRPr="00B55C65">
          <w:rPr>
            <w:rStyle w:val="Hiperveza"/>
            <w:rFonts w:ascii="Arial" w:hAnsi="Arial" w:cs="Arial"/>
            <w:sz w:val="16"/>
            <w:szCs w:val="16"/>
          </w:rPr>
          <w:t>Transparentno.hr</w:t>
        </w:r>
      </w:hyperlink>
    </w:p>
  </w:footnote>
  <w:footnote w:id="4">
    <w:p w:rsidR="00117B18" w:rsidRPr="00117B18" w:rsidRDefault="00117B18" w:rsidP="002E20EE">
      <w:pPr>
        <w:pStyle w:val="Tekstfusnote"/>
        <w:spacing w:before="4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117B18">
        <w:rPr>
          <w:rStyle w:val="Referencafusnot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117B18">
        <w:rPr>
          <w:rFonts w:ascii="Arial" w:hAnsi="Arial" w:cs="Arial"/>
          <w:color w:val="244061" w:themeColor="accent1" w:themeShade="80"/>
          <w:sz w:val="16"/>
          <w:szCs w:val="16"/>
        </w:rPr>
        <w:t xml:space="preserve"> U rezultate ovog skupa poduzetnika nisu uključeni rezultati ZAGREBAČKOG ELEKTRIČNOG TRAMVAJA, jer je temeljem Ugovora o pripajanju od 9.06.2006. godine pripojeno trgovačkom društvu GRADSKO KOMUNALNO GOSPODARSTVO d.o.o. (MBS 080042653), kojem su pripojena i druga društva koja danas posluju u sastavu ZAGREBAČKOG HOLDINGA d.o.o.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 Za usporedbu, 2005. godine, kada je sadašnja Podružnica </w:t>
      </w:r>
      <w:r w:rsidRPr="00117B18">
        <w:rPr>
          <w:rFonts w:ascii="Arial" w:hAnsi="Arial" w:cs="Arial"/>
          <w:color w:val="244061" w:themeColor="accent1" w:themeShade="80"/>
          <w:sz w:val="16"/>
          <w:szCs w:val="16"/>
        </w:rPr>
        <w:t>ZAGREBAČK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I</w:t>
      </w:r>
      <w:r w:rsidRPr="00117B18">
        <w:rPr>
          <w:rFonts w:ascii="Arial" w:hAnsi="Arial" w:cs="Arial"/>
          <w:color w:val="244061" w:themeColor="accent1" w:themeShade="80"/>
          <w:sz w:val="16"/>
          <w:szCs w:val="16"/>
        </w:rPr>
        <w:t xml:space="preserve"> ELEKTRIČN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I</w:t>
      </w:r>
      <w:r w:rsidRPr="00117B18">
        <w:rPr>
          <w:rFonts w:ascii="Arial" w:hAnsi="Arial" w:cs="Arial"/>
          <w:color w:val="244061" w:themeColor="accent1" w:themeShade="80"/>
          <w:sz w:val="16"/>
          <w:szCs w:val="16"/>
        </w:rPr>
        <w:t xml:space="preserve"> TRAMVAJ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 posloval</w:t>
      </w:r>
      <w:r w:rsidR="002E20EE">
        <w:rPr>
          <w:rFonts w:ascii="Arial" w:hAnsi="Arial" w:cs="Arial"/>
          <w:color w:val="244061" w:themeColor="accent1" w:themeShade="80"/>
          <w:sz w:val="16"/>
          <w:szCs w:val="16"/>
        </w:rPr>
        <w:t>a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 kao društvo</w:t>
      </w:r>
      <w:r w:rsidR="002E20EE">
        <w:rPr>
          <w:rFonts w:ascii="Arial" w:hAnsi="Arial" w:cs="Arial"/>
          <w:color w:val="244061" w:themeColor="accent1" w:themeShade="80"/>
          <w:sz w:val="16"/>
          <w:szCs w:val="16"/>
        </w:rPr>
        <w:t xml:space="preserve"> s ograničenom odgovornošću 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(</w:t>
      </w:r>
      <w:r w:rsidR="002E20EE">
        <w:rPr>
          <w:rFonts w:ascii="Arial" w:hAnsi="Arial" w:cs="Arial"/>
          <w:color w:val="244061" w:themeColor="accent1" w:themeShade="80"/>
          <w:sz w:val="16"/>
          <w:szCs w:val="16"/>
        </w:rPr>
        <w:t xml:space="preserve">MBS </w:t>
      </w:r>
      <w:r w:rsidR="002E20EE" w:rsidRPr="002E20EE">
        <w:rPr>
          <w:rFonts w:ascii="Arial" w:hAnsi="Arial" w:cs="Arial"/>
          <w:color w:val="244061" w:themeColor="accent1" w:themeShade="80"/>
          <w:sz w:val="16"/>
          <w:szCs w:val="16"/>
        </w:rPr>
        <w:t>080064219</w:t>
      </w:r>
      <w:r w:rsidR="002E20EE">
        <w:rPr>
          <w:rFonts w:ascii="Arial" w:hAnsi="Arial" w:cs="Arial"/>
          <w:color w:val="244061" w:themeColor="accent1" w:themeShade="80"/>
          <w:sz w:val="16"/>
          <w:szCs w:val="16"/>
        </w:rPr>
        <w:t>)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, ostvarilo je prihod u iznosu od 913,6 milijuna kuna. </w:t>
      </w:r>
      <w:r w:rsidRPr="00117B18">
        <w:rPr>
          <w:rFonts w:ascii="Arial" w:hAnsi="Arial" w:cs="Arial"/>
          <w:color w:val="244061" w:themeColor="accent1" w:themeShade="80"/>
          <w:sz w:val="16"/>
          <w:szCs w:val="16"/>
        </w:rPr>
        <w:t>Prihodi od dotacija, držav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n</w:t>
      </w:r>
      <w:r w:rsidR="002E20EE">
        <w:rPr>
          <w:rFonts w:ascii="Arial" w:hAnsi="Arial" w:cs="Arial"/>
          <w:color w:val="244061" w:themeColor="accent1" w:themeShade="80"/>
          <w:sz w:val="16"/>
          <w:szCs w:val="16"/>
        </w:rPr>
        <w:t>e</w:t>
      </w:r>
      <w:r w:rsidRPr="00117B18">
        <w:rPr>
          <w:rFonts w:ascii="Arial" w:hAnsi="Arial" w:cs="Arial"/>
          <w:color w:val="244061" w:themeColor="accent1" w:themeShade="80"/>
          <w:sz w:val="16"/>
          <w:szCs w:val="16"/>
        </w:rPr>
        <w:t xml:space="preserve"> potpore i subvencij</w:t>
      </w:r>
      <w:r w:rsidR="002E20EE">
        <w:rPr>
          <w:rFonts w:ascii="Arial" w:hAnsi="Arial" w:cs="Arial"/>
          <w:color w:val="244061" w:themeColor="accent1" w:themeShade="80"/>
          <w:sz w:val="16"/>
          <w:szCs w:val="16"/>
        </w:rPr>
        <w:t>e iznosili su 543,9 milijuna 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58" w:rsidRDefault="00A63058">
    <w:pPr>
      <w:pStyle w:val="Zaglavlje"/>
    </w:pPr>
    <w:r>
      <w:rPr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7739EF48" wp14:editId="049DA0E2">
          <wp:simplePos x="0" y="0"/>
          <wp:positionH relativeFrom="column">
            <wp:posOffset>-14605</wp:posOffset>
          </wp:positionH>
          <wp:positionV relativeFrom="paragraph">
            <wp:posOffset>-70485</wp:posOffset>
          </wp:positionV>
          <wp:extent cx="1085215" cy="215900"/>
          <wp:effectExtent l="0" t="0" r="635" b="0"/>
          <wp:wrapNone/>
          <wp:docPr id="3" name="Picture 3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3CDC"/>
    <w:multiLevelType w:val="hybridMultilevel"/>
    <w:tmpl w:val="F07C5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81"/>
    <w:rsid w:val="00015175"/>
    <w:rsid w:val="00117B18"/>
    <w:rsid w:val="0013251B"/>
    <w:rsid w:val="00150396"/>
    <w:rsid w:val="00207396"/>
    <w:rsid w:val="00255A3C"/>
    <w:rsid w:val="00266313"/>
    <w:rsid w:val="002E20EE"/>
    <w:rsid w:val="003078F3"/>
    <w:rsid w:val="00314558"/>
    <w:rsid w:val="003A7998"/>
    <w:rsid w:val="004E5C91"/>
    <w:rsid w:val="007841EF"/>
    <w:rsid w:val="007A4649"/>
    <w:rsid w:val="007C6860"/>
    <w:rsid w:val="008134A5"/>
    <w:rsid w:val="0096031B"/>
    <w:rsid w:val="00991E6F"/>
    <w:rsid w:val="00A63058"/>
    <w:rsid w:val="00B37EC9"/>
    <w:rsid w:val="00B55C65"/>
    <w:rsid w:val="00BD5E37"/>
    <w:rsid w:val="00C72D96"/>
    <w:rsid w:val="00C73187"/>
    <w:rsid w:val="00CD1AAF"/>
    <w:rsid w:val="00D809C6"/>
    <w:rsid w:val="00DB5805"/>
    <w:rsid w:val="00E12401"/>
    <w:rsid w:val="00E97781"/>
    <w:rsid w:val="00EA0254"/>
    <w:rsid w:val="00FA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778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E97781"/>
    <w:rPr>
      <w:rFonts w:ascii="Calibri" w:eastAsia="Calibri" w:hAnsi="Calibri" w:cs="Times New Roman"/>
    </w:rPr>
  </w:style>
  <w:style w:type="character" w:styleId="Referencafusnote">
    <w:name w:val="footnote reference"/>
    <w:uiPriority w:val="99"/>
    <w:semiHidden/>
    <w:rsid w:val="00E97781"/>
    <w:rPr>
      <w:rFonts w:cs="Times New Roman"/>
      <w:vertAlign w:val="superscript"/>
    </w:rPr>
  </w:style>
  <w:style w:type="character" w:styleId="Hiperveza">
    <w:name w:val="Hyperlink"/>
    <w:uiPriority w:val="99"/>
    <w:unhideWhenUsed/>
    <w:rsid w:val="00E9778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78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E9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781"/>
  </w:style>
  <w:style w:type="paragraph" w:styleId="Odlomakpopisa">
    <w:name w:val="List Paragraph"/>
    <w:basedOn w:val="Normal"/>
    <w:uiPriority w:val="34"/>
    <w:qFormat/>
    <w:rsid w:val="00D809C6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13251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325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778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E97781"/>
    <w:rPr>
      <w:rFonts w:ascii="Calibri" w:eastAsia="Calibri" w:hAnsi="Calibri" w:cs="Times New Roman"/>
    </w:rPr>
  </w:style>
  <w:style w:type="character" w:styleId="Referencafusnote">
    <w:name w:val="footnote reference"/>
    <w:uiPriority w:val="99"/>
    <w:semiHidden/>
    <w:rsid w:val="00E97781"/>
    <w:rPr>
      <w:rFonts w:cs="Times New Roman"/>
      <w:vertAlign w:val="superscript"/>
    </w:rPr>
  </w:style>
  <w:style w:type="character" w:styleId="Hiperveza">
    <w:name w:val="Hyperlink"/>
    <w:uiPriority w:val="99"/>
    <w:unhideWhenUsed/>
    <w:rsid w:val="00E9778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78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E9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7781"/>
  </w:style>
  <w:style w:type="paragraph" w:styleId="Odlomakpopisa">
    <w:name w:val="List Paragraph"/>
    <w:basedOn w:val="Normal"/>
    <w:uiPriority w:val="34"/>
    <w:qFormat/>
    <w:rsid w:val="00D809C6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13251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325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nsparentno.hr/pregled/19819724166/860de45ad86e7eae653ce0d2f6e15986eed7425f02c450bd1ca4e12d3b15077947e6531a6498256680eb7b1c14a477befd4d5ab32d9d907614a79d43dafa298a" TargetMode="External"/><Relationship Id="rId18" Type="http://schemas.openxmlformats.org/officeDocument/2006/relationships/hyperlink" Target="https://www.transparentno.hr/pregled/13421314997/a9452f73fbdcf54e4dedc96ebbccf8e2d74b9d3033e267e30cf5517947bd4ec7389312f5d653b4e6f21fe90a841c3e90548b6307900f01ca08370f0c467f0ff1" TargetMode="External"/><Relationship Id="rId26" Type="http://schemas.openxmlformats.org/officeDocument/2006/relationships/hyperlink" Target="https://servisi.fina.hr/IPaket-login.web/pSubjektTrazi.do" TargetMode="External"/><Relationship Id="rId3" Type="http://schemas.openxmlformats.org/officeDocument/2006/relationships/styles" Target="styles.xml"/><Relationship Id="rId21" Type="http://schemas.openxmlformats.org/officeDocument/2006/relationships/hyperlink" Target="http://rgfi.fina.hr/JavnaObjava-web/jsp/prijavaKorisnika.jsp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www.transparentno.hr/pregled/04767584912/bd327f096453e7498f527e85543b8d7f6c6369c40494972d2c6c4bfeeedeb9b25a3cb1e26d69390612b0f92e26936a3679410c41360aad14cf49f3c20910c124" TargetMode="External"/><Relationship Id="rId25" Type="http://schemas.openxmlformats.org/officeDocument/2006/relationships/hyperlink" Target="https://www.transparentno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96107776452/7339fa88e96f78476226fe1dd8e5866029737e7f5a142d58ec00815788f8dabae9a01877bc106f5c378ac6837bc7052ed262c00a54dc1b05f2e29aa04f47e2d8" TargetMode="External"/><Relationship Id="rId20" Type="http://schemas.openxmlformats.org/officeDocument/2006/relationships/hyperlink" Target="http://www.fina.hr/Default.aspx?art=8958&amp;sec=1275" TargetMode="External"/><Relationship Id="rId29" Type="http://schemas.openxmlformats.org/officeDocument/2006/relationships/hyperlink" Target="http://rgfi.fina.hr/JavnaObjava-web/jsp/prijavaKorisnika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13421314997/a9452f73fbdcf54e4dedc96ebbccf8e2d74b9d3033e267e30cf5517947bd4ec7389312f5d653b4e6f21fe90a841c3e90548b6307900f01ca08370f0c467f0ff1" TargetMode="External"/><Relationship Id="rId24" Type="http://schemas.openxmlformats.org/officeDocument/2006/relationships/hyperlink" Target="http://rgfi.fina.hr/JavnaObjava-web/jsp/prijavaKorisnika.jsp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19819724166/860de45ad86e7eae653ce0d2f6e15986eed7425f02c450bd1ca4e12d3b15077947e6531a6498256680eb7b1c14a477befd4d5ab32d9d907614a79d43dafa298a" TargetMode="External"/><Relationship Id="rId23" Type="http://schemas.openxmlformats.org/officeDocument/2006/relationships/hyperlink" Target="https://www.transparentno.hr/" TargetMode="External"/><Relationship Id="rId28" Type="http://schemas.openxmlformats.org/officeDocument/2006/relationships/hyperlink" Target="mailto:rgfi@fina.hr" TargetMode="External"/><Relationship Id="rId10" Type="http://schemas.openxmlformats.org/officeDocument/2006/relationships/hyperlink" Target="https://www.transparentno.hr/pregled/19819724166/860de45ad86e7eae653ce0d2f6e15986eed7425f02c450bd1ca4e12d3b15077947e6531a6498256680eb7b1c14a477befd4d5ab32d9d907614a79d43dafa298a" TargetMode="External"/><Relationship Id="rId19" Type="http://schemas.openxmlformats.org/officeDocument/2006/relationships/hyperlink" Target="https://www.transparentno.hr/pregled/96107776452/cazmatrans-promet-d-o-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ransparentno.hr/pregled/57123451910/c47ceb2fefa5dd0061208cf60b680844b96cf3b2239839ca341b642f2de0a818fa8e059440f1a4725c43570556e2e7fc4b93a62bd42a75d1743a40d0cbd8b2fa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rgfi.fina.hr/JavnaObjava-web/jsp/prijavaKorisnika.jsp" TargetMode="External"/><Relationship Id="rId27" Type="http://schemas.openxmlformats.org/officeDocument/2006/relationships/hyperlink" Target="http://rgfi.fina.hr/IzvjestajiRGFI.web/main/home.jsp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tn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A877-D6CE-47A5-ADF1-3A39C41A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1783</Words>
  <Characters>10169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XYZ</cp:lastModifiedBy>
  <cp:revision>2</cp:revision>
  <dcterms:created xsi:type="dcterms:W3CDTF">2016-10-22T19:25:00Z</dcterms:created>
  <dcterms:modified xsi:type="dcterms:W3CDTF">2016-10-22T19:25:00Z</dcterms:modified>
</cp:coreProperties>
</file>